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宋体" w:eastAsia="黑体" w:cs="宋体"/>
          <w:b/>
          <w:bCs/>
          <w:sz w:val="44"/>
          <w:szCs w:val="44"/>
        </w:rPr>
      </w:pPr>
      <w:r>
        <w:rPr>
          <w:rFonts w:hint="eastAsia" w:ascii="黑体" w:hAnsi="宋体" w:eastAsia="黑体" w:cs="宋体"/>
          <w:b/>
          <w:bCs/>
          <w:sz w:val="44"/>
          <w:szCs w:val="44"/>
        </w:rPr>
        <w:t>数字媒体技术专业</w:t>
      </w:r>
    </w:p>
    <w:p>
      <w:pPr>
        <w:jc w:val="center"/>
        <w:rPr>
          <w:rFonts w:ascii="黑体" w:hAnsi="黑体" w:eastAsia="黑体" w:cs="宋体"/>
          <w:b/>
          <w:bCs/>
          <w:color w:val="000000"/>
          <w:sz w:val="44"/>
          <w:szCs w:val="44"/>
        </w:rPr>
      </w:pPr>
      <w:r>
        <w:rPr>
          <w:rFonts w:hint="eastAsia" w:ascii="黑体" w:hAnsi="黑体" w:eastAsia="黑体" w:cs="宋体"/>
          <w:b/>
          <w:bCs/>
          <w:color w:val="000000"/>
          <w:sz w:val="44"/>
          <w:szCs w:val="44"/>
        </w:rPr>
        <w:t>本科人才培养方案</w:t>
      </w:r>
    </w:p>
    <w:p>
      <w:pPr>
        <w:tabs>
          <w:tab w:val="left" w:pos="630"/>
        </w:tabs>
        <w:spacing w:before="312" w:beforeLines="100" w:line="360" w:lineRule="auto"/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一、培养目标</w:t>
      </w:r>
    </w:p>
    <w:p>
      <w:pPr>
        <w:widowControl/>
        <w:spacing w:line="360" w:lineRule="auto"/>
        <w:ind w:firstLine="630" w:firstLineChars="3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专业培养具有良好的技术素质和艺术修养，较系统地掌握数字媒体技术专业的基础理论、基础知识和基本技能，具备较强的英语应用能力、创新精神及团队合作精神，能在互动媒体、媒体网络及新媒体工程等领域，在企事业单位、政府机关部门从事数字媒体设计、开发与应用等工作的德、智、体、美、劳全面发展的高素质国际化应用型、复合型、创新型人才。</w:t>
      </w:r>
    </w:p>
    <w:p>
      <w:pPr>
        <w:tabs>
          <w:tab w:val="left" w:pos="630"/>
        </w:tabs>
        <w:spacing w:line="360" w:lineRule="auto"/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二、培养要求</w:t>
      </w:r>
    </w:p>
    <w:p>
      <w:pPr>
        <w:widowControl/>
        <w:spacing w:line="360" w:lineRule="auto"/>
        <w:ind w:firstLine="632" w:firstLineChars="300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（一）知识要求</w:t>
      </w:r>
    </w:p>
    <w:p>
      <w:pPr>
        <w:widowControl/>
        <w:spacing w:line="360" w:lineRule="auto"/>
        <w:ind w:firstLine="630" w:firstLineChars="3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1.掌握一定的人文、社会科学和自然科学知识，掌握计算机学科的基础知识，掌握数字媒体技术专业</w:t>
      </w:r>
      <w:r>
        <w:rPr>
          <w:rFonts w:ascii="宋体" w:hAnsi="宋体"/>
          <w:szCs w:val="21"/>
        </w:rPr>
        <w:t>的基</w:t>
      </w:r>
      <w:r>
        <w:rPr>
          <w:rFonts w:hint="eastAsia" w:ascii="宋体" w:hAnsi="宋体"/>
          <w:szCs w:val="21"/>
        </w:rPr>
        <w:t>础知识和</w:t>
      </w:r>
      <w:r>
        <w:rPr>
          <w:rFonts w:ascii="宋体" w:hAnsi="宋体"/>
          <w:szCs w:val="21"/>
        </w:rPr>
        <w:t>基本</w:t>
      </w:r>
      <w:r>
        <w:rPr>
          <w:rFonts w:hint="eastAsia" w:ascii="宋体" w:hAnsi="宋体"/>
          <w:szCs w:val="21"/>
        </w:rPr>
        <w:t>技术，掌握一定的艺术设计的基本理论和技术，掌握文献检索、资料查询的基本方法。</w:t>
      </w:r>
    </w:p>
    <w:p>
      <w:pPr>
        <w:widowControl/>
        <w:spacing w:line="360" w:lineRule="auto"/>
        <w:ind w:firstLine="630" w:firstLineChars="3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2.专业知识掌握平面与动画设计的基本理论与技术，掌握网站开发的基本理论与技术，掌握游戏开发的基本理论与技术，掌握数字拍摄和摄影技术的理论与方法。</w:t>
      </w:r>
    </w:p>
    <w:p>
      <w:pPr>
        <w:widowControl/>
        <w:spacing w:line="360" w:lineRule="auto"/>
        <w:ind w:firstLine="632" w:firstLineChars="300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（二）能力要求</w:t>
      </w:r>
    </w:p>
    <w:p>
      <w:pPr>
        <w:widowControl/>
        <w:spacing w:line="360" w:lineRule="auto"/>
        <w:ind w:firstLine="630" w:firstLineChars="3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1.具有较高的英语水平和综合应用能力，特别是听、说能力，能够较为准确阅读外文商函和熟练阅读外文文献资料，具有艺术作品鉴赏、设计的基本技能。学生须通过全国大学英语四级考试。</w:t>
      </w:r>
    </w:p>
    <w:p>
      <w:pPr>
        <w:widowControl/>
        <w:spacing w:line="360" w:lineRule="auto"/>
        <w:ind w:firstLine="630" w:firstLineChars="3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2.具有平面设计、网站开发、游戏开发、动画设计、数字影视作品创作、交互式媒体设计等的专业技能。</w:t>
      </w:r>
    </w:p>
    <w:p>
      <w:pPr>
        <w:widowControl/>
        <w:spacing w:line="360" w:lineRule="auto"/>
        <w:ind w:firstLine="630" w:firstLineChars="3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3.具有较强的自主学习能力和初步科学研究能力，具有较强的跨文化交际能力和人际沟通、团队协作和社会活动能力，有一定的创新创业精神、实践能力和实际工作能力。</w:t>
      </w:r>
    </w:p>
    <w:p>
      <w:pPr>
        <w:widowControl/>
        <w:spacing w:line="360" w:lineRule="auto"/>
        <w:ind w:firstLine="632" w:firstLineChars="300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（三）素质要求</w:t>
      </w:r>
    </w:p>
    <w:p>
      <w:pPr>
        <w:widowControl/>
        <w:spacing w:line="360" w:lineRule="auto"/>
        <w:ind w:firstLine="630" w:firstLineChars="3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具有健康的生理素质，具有良好的心理素质，具有较好的人文素养和职业道德，具有较强的专业能力，社会责任感强。</w:t>
      </w:r>
    </w:p>
    <w:p>
      <w:pPr>
        <w:tabs>
          <w:tab w:val="left" w:pos="630"/>
        </w:tabs>
        <w:spacing w:line="360" w:lineRule="auto"/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三、学制与修业年限</w:t>
      </w:r>
    </w:p>
    <w:p>
      <w:pPr>
        <w:widowControl/>
        <w:spacing w:line="360" w:lineRule="auto"/>
        <w:ind w:firstLine="630" w:firstLineChars="3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学制：4年。</w:t>
      </w:r>
    </w:p>
    <w:p>
      <w:pPr>
        <w:widowControl/>
        <w:spacing w:line="360" w:lineRule="auto"/>
        <w:ind w:firstLine="630" w:firstLineChars="3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修业年限：3～6年。</w:t>
      </w:r>
    </w:p>
    <w:p>
      <w:pPr>
        <w:tabs>
          <w:tab w:val="left" w:pos="630"/>
        </w:tabs>
        <w:spacing w:line="360" w:lineRule="auto"/>
        <w:ind w:firstLine="562" w:firstLineChars="200"/>
        <w:rPr>
          <w:rFonts w:ascii="宋体" w:hAnsi="宋体"/>
          <w:b/>
          <w:sz w:val="28"/>
          <w:szCs w:val="28"/>
        </w:rPr>
      </w:pPr>
    </w:p>
    <w:p>
      <w:pPr>
        <w:tabs>
          <w:tab w:val="left" w:pos="630"/>
        </w:tabs>
        <w:spacing w:line="360" w:lineRule="auto"/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四、学分与学时 </w:t>
      </w:r>
    </w:p>
    <w:p>
      <w:pPr>
        <w:tabs>
          <w:tab w:val="left" w:pos="630"/>
        </w:tabs>
        <w:jc w:val="center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总学分及学分分配表</w:t>
      </w:r>
    </w:p>
    <w:tbl>
      <w:tblPr>
        <w:tblStyle w:val="9"/>
        <w:tblW w:w="960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7"/>
        <w:gridCol w:w="1725"/>
        <w:gridCol w:w="1281"/>
        <w:gridCol w:w="10"/>
        <w:gridCol w:w="1260"/>
        <w:gridCol w:w="1322"/>
        <w:gridCol w:w="1113"/>
        <w:gridCol w:w="111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777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课程类别</w:t>
            </w:r>
          </w:p>
        </w:tc>
        <w:tc>
          <w:tcPr>
            <w:tcW w:w="172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课程性质</w:t>
            </w:r>
          </w:p>
        </w:tc>
        <w:tc>
          <w:tcPr>
            <w:tcW w:w="3873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学分数</w:t>
            </w:r>
          </w:p>
        </w:tc>
        <w:tc>
          <w:tcPr>
            <w:tcW w:w="2227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学分比例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77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9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理论教学</w:t>
            </w:r>
          </w:p>
        </w:tc>
        <w:tc>
          <w:tcPr>
            <w:tcW w:w="126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实践教学</w:t>
            </w:r>
          </w:p>
        </w:tc>
        <w:tc>
          <w:tcPr>
            <w:tcW w:w="1322" w:type="dxa"/>
            <w:tcBorders>
              <w:righ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合计</w:t>
            </w:r>
          </w:p>
        </w:tc>
        <w:tc>
          <w:tcPr>
            <w:tcW w:w="1113" w:type="dxa"/>
            <w:tcBorders>
              <w:lef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必修</w:t>
            </w:r>
          </w:p>
        </w:tc>
        <w:tc>
          <w:tcPr>
            <w:tcW w:w="111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选修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7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通识教育课程</w:t>
            </w:r>
          </w:p>
        </w:tc>
        <w:tc>
          <w:tcPr>
            <w:tcW w:w="1725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必修课程</w:t>
            </w:r>
          </w:p>
        </w:tc>
        <w:tc>
          <w:tcPr>
            <w:tcW w:w="1291" w:type="dxa"/>
            <w:gridSpan w:val="2"/>
            <w:vAlign w:val="center"/>
          </w:tcPr>
          <w:p>
            <w:pPr>
              <w:spacing w:line="280" w:lineRule="exact"/>
              <w:ind w:right="422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31</w:t>
            </w:r>
          </w:p>
        </w:tc>
        <w:tc>
          <w:tcPr>
            <w:tcW w:w="126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322" w:type="dxa"/>
            <w:tcBorders>
              <w:righ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1113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22.2%</w:t>
            </w:r>
          </w:p>
        </w:tc>
        <w:tc>
          <w:tcPr>
            <w:tcW w:w="1114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7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2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选修课程</w:t>
            </w:r>
          </w:p>
        </w:tc>
        <w:tc>
          <w:tcPr>
            <w:tcW w:w="1291" w:type="dxa"/>
            <w:gridSpan w:val="2"/>
            <w:vAlign w:val="center"/>
          </w:tcPr>
          <w:p>
            <w:pPr>
              <w:spacing w:line="280" w:lineRule="exact"/>
              <w:ind w:right="422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</w:t>
            </w:r>
          </w:p>
        </w:tc>
        <w:tc>
          <w:tcPr>
            <w:tcW w:w="126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2" w:type="dxa"/>
            <w:tcBorders>
              <w:righ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</w:t>
            </w:r>
          </w:p>
        </w:tc>
        <w:tc>
          <w:tcPr>
            <w:tcW w:w="11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11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8.2%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777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大学外语</w:t>
            </w:r>
          </w:p>
          <w:p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教育课程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必修课程</w:t>
            </w: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ind w:right="422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1322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</w:t>
            </w:r>
          </w:p>
        </w:tc>
        <w:tc>
          <w:tcPr>
            <w:tcW w:w="11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11.7%</w:t>
            </w:r>
          </w:p>
        </w:tc>
        <w:tc>
          <w:tcPr>
            <w:tcW w:w="11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77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选修课程</w:t>
            </w:r>
          </w:p>
        </w:tc>
        <w:tc>
          <w:tcPr>
            <w:tcW w:w="1291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ind w:right="42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2</w:t>
            </w:r>
          </w:p>
        </w:tc>
        <w:tc>
          <w:tcPr>
            <w:tcW w:w="1260" w:type="dxa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322" w:type="dxa"/>
            <w:tcBorders>
              <w:top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1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1114" w:type="dxa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2.3%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777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专业教育课程</w:t>
            </w:r>
          </w:p>
        </w:tc>
        <w:tc>
          <w:tcPr>
            <w:tcW w:w="1725" w:type="dxa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学科基础课程</w:t>
            </w:r>
          </w:p>
        </w:tc>
        <w:tc>
          <w:tcPr>
            <w:tcW w:w="129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  <w:tc>
          <w:tcPr>
            <w:tcW w:w="126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1322" w:type="dxa"/>
            <w:tcBorders>
              <w:righ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21</w:t>
            </w:r>
          </w:p>
        </w:tc>
        <w:tc>
          <w:tcPr>
            <w:tcW w:w="1113" w:type="dxa"/>
            <w:vMerge w:val="restart"/>
            <w:tcBorders>
              <w:top w:val="single" w:color="auto" w:sz="4" w:space="0"/>
              <w:lef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26.9%</w:t>
            </w:r>
          </w:p>
        </w:tc>
        <w:tc>
          <w:tcPr>
            <w:tcW w:w="1114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77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25" w:type="dxa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专业必修课程</w:t>
            </w:r>
          </w:p>
        </w:tc>
        <w:tc>
          <w:tcPr>
            <w:tcW w:w="129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16</w:t>
            </w:r>
          </w:p>
        </w:tc>
        <w:tc>
          <w:tcPr>
            <w:tcW w:w="126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1322" w:type="dxa"/>
            <w:tcBorders>
              <w:righ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25</w:t>
            </w:r>
          </w:p>
        </w:tc>
        <w:tc>
          <w:tcPr>
            <w:tcW w:w="1113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77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5" w:type="dxa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专业选修课程</w:t>
            </w:r>
          </w:p>
        </w:tc>
        <w:tc>
          <w:tcPr>
            <w:tcW w:w="129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17</w:t>
            </w:r>
          </w:p>
        </w:tc>
        <w:tc>
          <w:tcPr>
            <w:tcW w:w="126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</w:t>
            </w:r>
          </w:p>
        </w:tc>
        <w:tc>
          <w:tcPr>
            <w:tcW w:w="1322" w:type="dxa"/>
            <w:tcBorders>
              <w:righ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31</w:t>
            </w:r>
          </w:p>
        </w:tc>
        <w:tc>
          <w:tcPr>
            <w:tcW w:w="1113" w:type="dxa"/>
            <w:tcBorders>
              <w:lef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—</w:t>
            </w:r>
          </w:p>
        </w:tc>
        <w:tc>
          <w:tcPr>
            <w:tcW w:w="1114" w:type="dxa"/>
            <w:tcBorders>
              <w:bottom w:val="single" w:color="auto" w:sz="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18.2%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777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实践教学 </w:t>
            </w:r>
          </w:p>
        </w:tc>
        <w:tc>
          <w:tcPr>
            <w:tcW w:w="1725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军事技能</w:t>
            </w:r>
          </w:p>
        </w:tc>
        <w:tc>
          <w:tcPr>
            <w:tcW w:w="129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22" w:type="dxa"/>
            <w:tcBorders>
              <w:righ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13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10.5%</w:t>
            </w:r>
          </w:p>
        </w:tc>
        <w:tc>
          <w:tcPr>
            <w:tcW w:w="1114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77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725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社会实践</w:t>
            </w:r>
          </w:p>
        </w:tc>
        <w:tc>
          <w:tcPr>
            <w:tcW w:w="129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322" w:type="dxa"/>
            <w:tcBorders>
              <w:righ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113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77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725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毕业实习</w:t>
            </w:r>
          </w:p>
        </w:tc>
        <w:tc>
          <w:tcPr>
            <w:tcW w:w="129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322" w:type="dxa"/>
            <w:tcBorders>
              <w:righ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113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77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725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毕业论文（设计）</w:t>
            </w:r>
          </w:p>
        </w:tc>
        <w:tc>
          <w:tcPr>
            <w:tcW w:w="129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322" w:type="dxa"/>
            <w:tcBorders>
              <w:righ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113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77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725" w:type="dxa"/>
            <w:tcBorders>
              <w:left w:val="single" w:color="auto" w:sz="4" w:space="0"/>
              <w:bottom w:val="single" w:color="auto" w:sz="2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创新能力</w:t>
            </w:r>
          </w:p>
        </w:tc>
        <w:tc>
          <w:tcPr>
            <w:tcW w:w="1291" w:type="dxa"/>
            <w:gridSpan w:val="2"/>
            <w:tcBorders>
              <w:bottom w:val="single" w:color="auto" w:sz="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tcBorders>
              <w:bottom w:val="single" w:color="auto" w:sz="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2" w:type="dxa"/>
            <w:tcBorders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777" w:type="dxa"/>
            <w:vMerge w:val="continue"/>
            <w:tcBorders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725" w:type="dxa"/>
            <w:tcBorders>
              <w:left w:val="single" w:color="auto" w:sz="4" w:space="0"/>
              <w:bottom w:val="single" w:color="auto" w:sz="2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专业实践</w:t>
            </w:r>
          </w:p>
        </w:tc>
        <w:tc>
          <w:tcPr>
            <w:tcW w:w="1291" w:type="dxa"/>
            <w:gridSpan w:val="2"/>
            <w:tcBorders>
              <w:bottom w:val="single" w:color="auto" w:sz="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tcBorders>
              <w:bottom w:val="single" w:color="auto" w:sz="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1322" w:type="dxa"/>
            <w:tcBorders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1113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3502" w:type="dxa"/>
            <w:gridSpan w:val="2"/>
            <w:tcBorders>
              <w:top w:val="single" w:color="auto" w:sz="2" w:space="0"/>
              <w:bottom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合 计</w:t>
            </w:r>
          </w:p>
        </w:tc>
        <w:tc>
          <w:tcPr>
            <w:tcW w:w="1291" w:type="dxa"/>
            <w:gridSpan w:val="2"/>
            <w:tcBorders>
              <w:top w:val="single" w:color="auto" w:sz="2" w:space="0"/>
              <w:bottom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102</w:t>
            </w:r>
          </w:p>
        </w:tc>
        <w:tc>
          <w:tcPr>
            <w:tcW w:w="1260" w:type="dxa"/>
            <w:tcBorders>
              <w:top w:val="single" w:color="auto" w:sz="2" w:space="0"/>
              <w:bottom w:val="single" w:color="auto" w:sz="12" w:space="0"/>
            </w:tcBorders>
            <w:vAlign w:val="center"/>
          </w:tcPr>
          <w:p>
            <w:pPr>
              <w:spacing w:line="280" w:lineRule="exact"/>
              <w:ind w:left="57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69</w:t>
            </w:r>
          </w:p>
        </w:tc>
        <w:tc>
          <w:tcPr>
            <w:tcW w:w="1322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171</w:t>
            </w:r>
          </w:p>
        </w:tc>
        <w:tc>
          <w:tcPr>
            <w:tcW w:w="1113" w:type="dxa"/>
            <w:tcBorders>
              <w:lef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 71.3%</w:t>
            </w:r>
          </w:p>
        </w:tc>
        <w:tc>
          <w:tcPr>
            <w:tcW w:w="111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28.7%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3502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学分比例</w:t>
            </w:r>
          </w:p>
        </w:tc>
        <w:tc>
          <w:tcPr>
            <w:tcW w:w="1281" w:type="dxa"/>
            <w:tcBorders>
              <w:top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59.6%</w:t>
            </w:r>
          </w:p>
        </w:tc>
        <w:tc>
          <w:tcPr>
            <w:tcW w:w="1270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280" w:lineRule="exact"/>
              <w:ind w:left="57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40.4%</w:t>
            </w:r>
          </w:p>
        </w:tc>
        <w:tc>
          <w:tcPr>
            <w:tcW w:w="3549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100%</w:t>
            </w:r>
          </w:p>
        </w:tc>
      </w:tr>
    </w:tbl>
    <w:p>
      <w:pPr>
        <w:tabs>
          <w:tab w:val="left" w:pos="13727"/>
        </w:tabs>
        <w:spacing w:line="28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注：①</w:t>
      </w:r>
      <w:r>
        <w:rPr>
          <w:rFonts w:hint="eastAsia" w:ascii="宋体" w:hAnsi="宋体"/>
          <w:sz w:val="18"/>
          <w:szCs w:val="18"/>
        </w:rPr>
        <w:t>本专业总学分171学分。其中选修课程共49学分，占28.7%。实践教学（含课程实践教学学分）69学分，占40.4%。②通识教育必修课程中《思想道德修养和法律基础》、《形势与政策》、《毛泽东思想和中国特色社会主义理论体系》中含实践教学3个学分，纳入社会实践</w:t>
      </w:r>
      <w:r>
        <w:rPr>
          <w:rFonts w:hint="eastAsia" w:ascii="宋体" w:hAnsi="宋体" w:cs="宋体"/>
          <w:sz w:val="18"/>
        </w:rPr>
        <w:t>环节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tabs>
          <w:tab w:val="left" w:pos="13727"/>
        </w:tabs>
        <w:spacing w:line="280" w:lineRule="exact"/>
        <w:ind w:firstLine="482" w:firstLineChars="200"/>
        <w:jc w:val="center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总学时及周学时分布表</w:t>
      </w:r>
    </w:p>
    <w:tbl>
      <w:tblPr>
        <w:tblStyle w:val="9"/>
        <w:tblW w:w="96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842"/>
        <w:gridCol w:w="567"/>
        <w:gridCol w:w="567"/>
        <w:gridCol w:w="709"/>
        <w:gridCol w:w="567"/>
        <w:gridCol w:w="567"/>
        <w:gridCol w:w="496"/>
        <w:gridCol w:w="496"/>
        <w:gridCol w:w="496"/>
        <w:gridCol w:w="497"/>
        <w:gridCol w:w="567"/>
        <w:gridCol w:w="5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800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课程类别</w:t>
            </w:r>
          </w:p>
        </w:tc>
        <w:tc>
          <w:tcPr>
            <w:tcW w:w="1842" w:type="dxa"/>
            <w:vMerge w:val="restart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课程性质</w:t>
            </w:r>
          </w:p>
        </w:tc>
        <w:tc>
          <w:tcPr>
            <w:tcW w:w="1134" w:type="dxa"/>
            <w:gridSpan w:val="2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学分数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</w:t>
            </w:r>
          </w:p>
          <w:p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</w:t>
            </w:r>
          </w:p>
          <w:p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总</w:t>
            </w:r>
          </w:p>
          <w:p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数</w:t>
            </w:r>
          </w:p>
        </w:tc>
        <w:tc>
          <w:tcPr>
            <w:tcW w:w="4195" w:type="dxa"/>
            <w:gridSpan w:val="8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各学期学时分布（周学时）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00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842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67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理论</w:t>
            </w:r>
          </w:p>
        </w:tc>
        <w:tc>
          <w:tcPr>
            <w:tcW w:w="567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实践</w:t>
            </w: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第一学年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第二学年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第三学年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第四学年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00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842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6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20"/>
              </w:rPr>
            </w:pPr>
            <w:r>
              <w:rPr>
                <w:rFonts w:hint="eastAsia" w:ascii="宋体" w:hAnsi="宋体"/>
                <w:b/>
                <w:sz w:val="20"/>
              </w:rPr>
              <w:t>一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二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三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四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五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六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七</w:t>
            </w:r>
          </w:p>
        </w:tc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800" w:type="dxa"/>
            <w:vMerge w:val="continue"/>
            <w:tcBorders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842" w:type="dxa"/>
            <w:vMerge w:val="continue"/>
            <w:tcBorders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67" w:type="dxa"/>
            <w:vMerge w:val="continue"/>
            <w:tcBorders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vMerge w:val="continue"/>
            <w:tcBorders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20"/>
              </w:rPr>
            </w:pPr>
            <w:r>
              <w:rPr>
                <w:rFonts w:ascii="宋体" w:hAnsi="宋体"/>
                <w:b/>
                <w:sz w:val="20"/>
              </w:rPr>
              <w:t>1</w:t>
            </w:r>
            <w:r>
              <w:rPr>
                <w:rFonts w:hint="eastAsia" w:ascii="宋体" w:hAnsi="宋体"/>
                <w:b/>
                <w:sz w:val="20"/>
              </w:rPr>
              <w:t>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6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6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6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6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6</w:t>
            </w:r>
          </w:p>
        </w:tc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00" w:type="dxa"/>
            <w:vMerge w:val="restart"/>
            <w:tcBorders>
              <w:top w:val="single" w:color="auto" w:sz="6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通识教育课程</w:t>
            </w:r>
          </w:p>
        </w:tc>
        <w:tc>
          <w:tcPr>
            <w:tcW w:w="184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必修课程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668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49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9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49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800" w:type="dxa"/>
            <w:vMerge w:val="continue"/>
            <w:tcBorders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选修课程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224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√</w:t>
            </w:r>
          </w:p>
        </w:tc>
        <w:tc>
          <w:tcPr>
            <w:tcW w:w="49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√</w:t>
            </w:r>
          </w:p>
        </w:tc>
        <w:tc>
          <w:tcPr>
            <w:tcW w:w="49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√</w:t>
            </w:r>
          </w:p>
        </w:tc>
        <w:tc>
          <w:tcPr>
            <w:tcW w:w="49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√</w:t>
            </w:r>
          </w:p>
        </w:tc>
        <w:tc>
          <w:tcPr>
            <w:tcW w:w="49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√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√</w:t>
            </w:r>
          </w:p>
        </w:tc>
        <w:tc>
          <w:tcPr>
            <w:tcW w:w="50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800" w:type="dxa"/>
            <w:vMerge w:val="restart"/>
            <w:tcBorders>
              <w:top w:val="single" w:color="auto" w:sz="6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大学外语</w:t>
            </w:r>
          </w:p>
          <w:p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教育课程</w:t>
            </w:r>
          </w:p>
        </w:tc>
        <w:tc>
          <w:tcPr>
            <w:tcW w:w="184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必修课程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304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49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4 </w:t>
            </w:r>
          </w:p>
        </w:tc>
        <w:tc>
          <w:tcPr>
            <w:tcW w:w="49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800" w:type="dxa"/>
            <w:vMerge w:val="continue"/>
            <w:tcBorders>
              <w:left w:val="single" w:color="auto" w:sz="12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选修课程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top w:val="single" w:color="auto" w:sz="6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专业教育课程</w:t>
            </w:r>
          </w:p>
        </w:tc>
        <w:tc>
          <w:tcPr>
            <w:tcW w:w="1842" w:type="dxa"/>
            <w:tcBorders>
              <w:top w:val="single" w:color="auto" w:sz="6" w:space="0"/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学科基础课程</w:t>
            </w:r>
          </w:p>
        </w:tc>
        <w:tc>
          <w:tcPr>
            <w:tcW w:w="567" w:type="dxa"/>
            <w:tcBorders>
              <w:top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  <w:tc>
          <w:tcPr>
            <w:tcW w:w="567" w:type="dxa"/>
            <w:tcBorders>
              <w:top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322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496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496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</w:p>
        </w:tc>
        <w:tc>
          <w:tcPr>
            <w:tcW w:w="496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</w:p>
        </w:tc>
        <w:tc>
          <w:tcPr>
            <w:tcW w:w="497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9" w:type="dxa"/>
            <w:tcBorders>
              <w:top w:val="single" w:color="auto" w:sz="6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00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专业必修课程</w:t>
            </w:r>
          </w:p>
        </w:tc>
        <w:tc>
          <w:tcPr>
            <w:tcW w:w="567" w:type="dxa"/>
            <w:tcBorders>
              <w:top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16</w:t>
            </w:r>
          </w:p>
        </w:tc>
        <w:tc>
          <w:tcPr>
            <w:tcW w:w="567" w:type="dxa"/>
            <w:tcBorders>
              <w:top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400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6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496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496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497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9" w:type="dxa"/>
            <w:tcBorders>
              <w:top w:val="single" w:color="auto" w:sz="6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vMerge w:val="continue"/>
            <w:tcBorders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42" w:type="dxa"/>
            <w:tcBorders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专业选修课程</w:t>
            </w:r>
          </w:p>
        </w:tc>
        <w:tc>
          <w:tcPr>
            <w:tcW w:w="567" w:type="dxa"/>
            <w:tcBorders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17</w:t>
            </w:r>
          </w:p>
        </w:tc>
        <w:tc>
          <w:tcPr>
            <w:tcW w:w="567" w:type="dxa"/>
            <w:tcBorders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496</w:t>
            </w:r>
          </w:p>
        </w:tc>
        <w:tc>
          <w:tcPr>
            <w:tcW w:w="56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6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6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496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49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</w:t>
            </w:r>
          </w:p>
        </w:tc>
        <w:tc>
          <w:tcPr>
            <w:tcW w:w="56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509" w:type="dxa"/>
            <w:tcBorders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vMerge w:val="restart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实践教学</w:t>
            </w:r>
          </w:p>
        </w:tc>
        <w:tc>
          <w:tcPr>
            <w:tcW w:w="1842" w:type="dxa"/>
            <w:tcBorders>
              <w:left w:val="single" w:color="auto" w:sz="6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军事技能</w:t>
            </w:r>
          </w:p>
        </w:tc>
        <w:tc>
          <w:tcPr>
            <w:tcW w:w="567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—</w:t>
            </w: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√</w:t>
            </w: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9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42" w:type="dxa"/>
            <w:tcBorders>
              <w:left w:val="single" w:color="auto" w:sz="6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社会实践</w:t>
            </w:r>
          </w:p>
        </w:tc>
        <w:tc>
          <w:tcPr>
            <w:tcW w:w="567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—</w:t>
            </w: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√</w:t>
            </w:r>
          </w:p>
        </w:tc>
        <w:tc>
          <w:tcPr>
            <w:tcW w:w="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</w:p>
        </w:tc>
        <w:tc>
          <w:tcPr>
            <w:tcW w:w="49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√</w:t>
            </w:r>
          </w:p>
        </w:tc>
        <w:tc>
          <w:tcPr>
            <w:tcW w:w="509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42" w:type="dxa"/>
            <w:tcBorders>
              <w:left w:val="single" w:color="auto" w:sz="6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毕业实习</w:t>
            </w:r>
          </w:p>
        </w:tc>
        <w:tc>
          <w:tcPr>
            <w:tcW w:w="567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—</w:t>
            </w: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</w:p>
        </w:tc>
        <w:tc>
          <w:tcPr>
            <w:tcW w:w="509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42" w:type="dxa"/>
            <w:tcBorders>
              <w:left w:val="single" w:color="auto" w:sz="6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毕业论文（设计）</w:t>
            </w:r>
          </w:p>
        </w:tc>
        <w:tc>
          <w:tcPr>
            <w:tcW w:w="567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—</w:t>
            </w: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√</w:t>
            </w:r>
          </w:p>
        </w:tc>
        <w:tc>
          <w:tcPr>
            <w:tcW w:w="509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√</w:t>
            </w:r>
            <w:bookmarkStart w:id="1" w:name="_GoBack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42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创新能力</w:t>
            </w:r>
          </w:p>
        </w:tc>
        <w:tc>
          <w:tcPr>
            <w:tcW w:w="567" w:type="dxa"/>
            <w:tcBorders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—</w:t>
            </w:r>
          </w:p>
        </w:tc>
        <w:tc>
          <w:tcPr>
            <w:tcW w:w="56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6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6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6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9" w:type="dxa"/>
            <w:tcBorders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vMerge w:val="continue"/>
            <w:tcBorders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42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专业实践</w:t>
            </w:r>
          </w:p>
        </w:tc>
        <w:tc>
          <w:tcPr>
            <w:tcW w:w="567" w:type="dxa"/>
            <w:tcBorders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—</w:t>
            </w:r>
          </w:p>
        </w:tc>
        <w:tc>
          <w:tcPr>
            <w:tcW w:w="56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√</w:t>
            </w:r>
          </w:p>
        </w:tc>
        <w:tc>
          <w:tcPr>
            <w:tcW w:w="496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√</w:t>
            </w:r>
          </w:p>
        </w:tc>
        <w:tc>
          <w:tcPr>
            <w:tcW w:w="496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√</w:t>
            </w:r>
          </w:p>
        </w:tc>
        <w:tc>
          <w:tcPr>
            <w:tcW w:w="496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√</w:t>
            </w:r>
          </w:p>
        </w:tc>
        <w:tc>
          <w:tcPr>
            <w:tcW w:w="49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√</w:t>
            </w:r>
          </w:p>
        </w:tc>
        <w:tc>
          <w:tcPr>
            <w:tcW w:w="56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√</w:t>
            </w:r>
          </w:p>
        </w:tc>
        <w:tc>
          <w:tcPr>
            <w:tcW w:w="509" w:type="dxa"/>
            <w:tcBorders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3642" w:type="dxa"/>
            <w:gridSpan w:val="2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合 计</w:t>
            </w:r>
          </w:p>
        </w:tc>
        <w:tc>
          <w:tcPr>
            <w:tcW w:w="567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102</w:t>
            </w:r>
          </w:p>
        </w:tc>
        <w:tc>
          <w:tcPr>
            <w:tcW w:w="567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69</w:t>
            </w:r>
          </w:p>
        </w:tc>
        <w:tc>
          <w:tcPr>
            <w:tcW w:w="70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2478</w:t>
            </w:r>
          </w:p>
        </w:tc>
        <w:tc>
          <w:tcPr>
            <w:tcW w:w="56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29</w:t>
            </w:r>
          </w:p>
        </w:tc>
        <w:tc>
          <w:tcPr>
            <w:tcW w:w="56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28</w:t>
            </w:r>
          </w:p>
        </w:tc>
        <w:tc>
          <w:tcPr>
            <w:tcW w:w="49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25</w:t>
            </w:r>
          </w:p>
        </w:tc>
        <w:tc>
          <w:tcPr>
            <w:tcW w:w="49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24</w:t>
            </w:r>
          </w:p>
        </w:tc>
        <w:tc>
          <w:tcPr>
            <w:tcW w:w="49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16</w:t>
            </w:r>
          </w:p>
        </w:tc>
        <w:tc>
          <w:tcPr>
            <w:tcW w:w="49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15</w:t>
            </w:r>
          </w:p>
        </w:tc>
        <w:tc>
          <w:tcPr>
            <w:tcW w:w="56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6</w:t>
            </w:r>
          </w:p>
        </w:tc>
        <w:tc>
          <w:tcPr>
            <w:tcW w:w="509" w:type="dxa"/>
            <w:vMerge w:val="restart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2" w:type="dxa"/>
            <w:gridSpan w:val="2"/>
            <w:vMerge w:val="continue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134" w:type="dxa"/>
            <w:gridSpan w:val="2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171</w:t>
            </w: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96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96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96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97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09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</w:tbl>
    <w:p>
      <w:pPr>
        <w:tabs>
          <w:tab w:val="left" w:pos="630"/>
        </w:tabs>
        <w:spacing w:line="280" w:lineRule="exact"/>
        <w:ind w:firstLine="712" w:firstLineChars="396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注：</w:t>
      </w:r>
      <w:r>
        <w:rPr>
          <w:rFonts w:hint="eastAsia" w:ascii="宋体" w:hAnsi="宋体"/>
          <w:sz w:val="18"/>
          <w:szCs w:val="18"/>
        </w:rPr>
        <w:t>①课程学分数包括理论教学学分与实践教学学分。</w:t>
      </w:r>
    </w:p>
    <w:p>
      <w:pPr>
        <w:tabs>
          <w:tab w:val="left" w:pos="630"/>
        </w:tabs>
        <w:spacing w:line="280" w:lineRule="exact"/>
        <w:ind w:firstLine="1072" w:firstLineChars="596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②</w:t>
      </w:r>
      <w:r>
        <w:rPr>
          <w:rFonts w:ascii="宋体" w:hAnsi="宋体"/>
          <w:sz w:val="18"/>
          <w:szCs w:val="18"/>
        </w:rPr>
        <w:t>表内</w:t>
      </w:r>
      <w:r>
        <w:rPr>
          <w:rFonts w:hint="eastAsia" w:ascii="宋体" w:hAnsi="宋体"/>
          <w:sz w:val="18"/>
          <w:szCs w:val="18"/>
        </w:rPr>
        <w:t>“</w:t>
      </w:r>
      <w:r>
        <w:rPr>
          <w:rFonts w:ascii="宋体" w:hAnsi="宋体"/>
          <w:sz w:val="18"/>
          <w:szCs w:val="18"/>
        </w:rPr>
        <w:t>实践教学</w:t>
      </w:r>
      <w:r>
        <w:rPr>
          <w:rFonts w:hint="eastAsia" w:ascii="宋体" w:hAnsi="宋体"/>
          <w:sz w:val="18"/>
          <w:szCs w:val="18"/>
        </w:rPr>
        <w:t>”</w:t>
      </w:r>
      <w:r>
        <w:rPr>
          <w:rFonts w:ascii="宋体" w:hAnsi="宋体"/>
          <w:sz w:val="18"/>
          <w:szCs w:val="18"/>
        </w:rPr>
        <w:t>不统计学时，学时数另计。</w:t>
      </w:r>
    </w:p>
    <w:p>
      <w:pPr>
        <w:tabs>
          <w:tab w:val="left" w:pos="630"/>
        </w:tabs>
        <w:spacing w:line="280" w:lineRule="exact"/>
        <w:ind w:firstLine="1072" w:firstLineChars="596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③“√”</w:t>
      </w:r>
      <w:r>
        <w:rPr>
          <w:rFonts w:ascii="宋体" w:hAnsi="宋体"/>
          <w:sz w:val="18"/>
          <w:szCs w:val="18"/>
        </w:rPr>
        <w:t>表示该项实践教学</w:t>
      </w:r>
      <w:r>
        <w:rPr>
          <w:rFonts w:hint="eastAsia" w:ascii="宋体" w:hAnsi="宋体"/>
          <w:sz w:val="18"/>
          <w:szCs w:val="18"/>
        </w:rPr>
        <w:t>和通识教育选修课程</w:t>
      </w:r>
      <w:r>
        <w:rPr>
          <w:rFonts w:ascii="宋体" w:hAnsi="宋体"/>
          <w:sz w:val="18"/>
          <w:szCs w:val="18"/>
        </w:rPr>
        <w:t>所在学期。</w:t>
      </w:r>
    </w:p>
    <w:p>
      <w:pPr>
        <w:tabs>
          <w:tab w:val="left" w:pos="630"/>
        </w:tabs>
        <w:spacing w:line="360" w:lineRule="auto"/>
        <w:ind w:firstLine="562" w:firstLineChars="200"/>
        <w:rPr>
          <w:rFonts w:ascii="宋体" w:hAnsi="宋体"/>
          <w:b/>
          <w:sz w:val="28"/>
          <w:szCs w:val="28"/>
        </w:rPr>
      </w:pPr>
    </w:p>
    <w:p>
      <w:pPr>
        <w:tabs>
          <w:tab w:val="left" w:pos="630"/>
        </w:tabs>
        <w:spacing w:line="360" w:lineRule="auto"/>
        <w:ind w:firstLine="562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b/>
          <w:sz w:val="28"/>
          <w:szCs w:val="28"/>
        </w:rPr>
        <w:t>五、主干学科</w:t>
      </w:r>
    </w:p>
    <w:p>
      <w:pPr>
        <w:widowControl/>
        <w:spacing w:line="360" w:lineRule="auto"/>
        <w:ind w:firstLine="630" w:firstLineChars="3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数字媒体技术</w:t>
      </w:r>
    </w:p>
    <w:p>
      <w:pPr>
        <w:tabs>
          <w:tab w:val="left" w:pos="630"/>
        </w:tabs>
        <w:spacing w:line="360" w:lineRule="auto"/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六、核心课程</w:t>
      </w:r>
    </w:p>
    <w:p>
      <w:pPr>
        <w:widowControl/>
        <w:spacing w:line="360" w:lineRule="auto"/>
        <w:ind w:firstLine="630" w:firstLineChars="3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绘画基础、造型基础、数字图像处理、数字摄影、场景设计与表现、多媒体技术基础、数字视音频处理、计算机动画、面向对象程序设计、人机交互技术、计算机游戏程序设计、数据库原理及应用、三维建模与动画设计。</w:t>
      </w:r>
    </w:p>
    <w:p>
      <w:pPr>
        <w:tabs>
          <w:tab w:val="left" w:pos="630"/>
        </w:tabs>
        <w:spacing w:line="360" w:lineRule="auto"/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七、授予学位</w:t>
      </w:r>
    </w:p>
    <w:p>
      <w:pPr>
        <w:widowControl/>
        <w:spacing w:line="360" w:lineRule="auto"/>
        <w:ind w:firstLine="630" w:firstLineChars="3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本科总平均学分绩点达到2.0的毕业生，经学院学位评定委员会审核确认，符合《中华人民共和国学位条例》和《广东外语外贸大学南国商学院学士学位授予实施细则》规定者，授予工学学士学位。</w:t>
      </w:r>
    </w:p>
    <w:p>
      <w:pPr>
        <w:tabs>
          <w:tab w:val="left" w:pos="630"/>
        </w:tabs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sz w:val="18"/>
          <w:szCs w:val="18"/>
        </w:rPr>
        <w:t xml:space="preserve">       </w:t>
      </w:r>
      <w:r>
        <w:rPr>
          <w:rFonts w:hint="eastAsia" w:ascii="宋体" w:hAnsi="宋体"/>
          <w:b/>
          <w:sz w:val="28"/>
          <w:szCs w:val="28"/>
        </w:rPr>
        <w:t>八、实践教学</w:t>
      </w:r>
    </w:p>
    <w:p>
      <w:pPr>
        <w:widowControl/>
        <w:spacing w:line="360" w:lineRule="auto"/>
        <w:ind w:firstLine="630" w:firstLineChars="3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（一）“军事技能”2学分：由学校统一安排，在新生入学后的第一个学期期末举行，时间一般为2周。</w:t>
      </w:r>
    </w:p>
    <w:p>
      <w:pPr>
        <w:widowControl/>
        <w:spacing w:line="360" w:lineRule="auto"/>
        <w:ind w:firstLine="630" w:firstLineChars="3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（二）“社会实践”3学分：由思想政治理论课教学部组织落实，团委和招生就业指导处协助开展具体工作，思想政治理论课教学部认定学分。</w:t>
      </w:r>
    </w:p>
    <w:p>
      <w:pPr>
        <w:widowControl/>
        <w:spacing w:line="360" w:lineRule="auto"/>
        <w:ind w:firstLine="630" w:firstLineChars="3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（三）“课程实践教学”</w:t>
      </w:r>
      <w:r>
        <w:rPr>
          <w:rFonts w:hint="eastAsia" w:ascii="宋体" w:hAnsi="宋体"/>
          <w:szCs w:val="21"/>
          <w:lang w:val="en-US" w:eastAsia="zh-CN"/>
        </w:rPr>
        <w:t>51</w:t>
      </w:r>
      <w:r>
        <w:rPr>
          <w:rFonts w:hint="eastAsia" w:ascii="宋体" w:hAnsi="宋体"/>
          <w:szCs w:val="21"/>
        </w:rPr>
        <w:t>学分：其中通识教育课程7学分，大学外语教育课程</w:t>
      </w:r>
      <w:r>
        <w:rPr>
          <w:rFonts w:hint="eastAsia" w:ascii="宋体" w:hAnsi="宋体"/>
          <w:szCs w:val="21"/>
          <w:lang w:val="en-US" w:eastAsia="zh-CN"/>
        </w:rPr>
        <w:t>12</w:t>
      </w:r>
      <w:r>
        <w:rPr>
          <w:rFonts w:hint="eastAsia" w:ascii="宋体" w:hAnsi="宋体"/>
          <w:szCs w:val="21"/>
        </w:rPr>
        <w:t>学分，学科基础课程9学分，专业必修课程9学分，专业选修课程14学分。</w:t>
      </w:r>
    </w:p>
    <w:p>
      <w:pPr>
        <w:widowControl/>
        <w:spacing w:line="360" w:lineRule="auto"/>
        <w:ind w:firstLine="630" w:firstLineChars="3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（四）“专业实践”6学分：学院在第二至第七学期的第19-20周组织实施“实践教学周”活动，每学期1学分。</w:t>
      </w:r>
    </w:p>
    <w:p>
      <w:pPr>
        <w:widowControl/>
        <w:spacing w:line="360" w:lineRule="auto"/>
        <w:ind w:firstLine="630" w:firstLineChars="3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（五）“毕业实习”3学分：学生在实习指导教师的指导下，在政府部门、企事业单位的符合本专业实习要求的岗位上实习2个月，并按要求完成实习日记及实习报告。一般安排在第八学期第1至8周。</w:t>
      </w:r>
    </w:p>
    <w:p>
      <w:pPr>
        <w:widowControl/>
        <w:spacing w:line="360" w:lineRule="auto"/>
        <w:ind w:firstLine="630" w:firstLineChars="3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六）“毕业论文（设计）”4学分：第七、八学期进行，要求在第八学期第13周前完成。在教师的指导下，围绕数字媒体技术专业的基本理论问题及其应用，结合本专业的要求撰写毕业论文或完成毕业设计，从中获得科学研究的初步训练。</w:t>
      </w:r>
    </w:p>
    <w:p>
      <w:pPr>
        <w:widowControl/>
        <w:spacing w:line="360" w:lineRule="auto"/>
        <w:ind w:firstLine="630" w:firstLineChars="3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（七）“创新能力”不作具体时间安排，</w:t>
      </w:r>
      <w:r>
        <w:rPr>
          <w:rFonts w:ascii="宋体" w:hAnsi="宋体"/>
          <w:szCs w:val="21"/>
        </w:rPr>
        <w:t>鼓励学生积极参与科研，参加各类学科竞赛与科技创作活动，对学生</w:t>
      </w:r>
      <w:r>
        <w:rPr>
          <w:rFonts w:hint="eastAsia" w:ascii="宋体" w:hAnsi="宋体"/>
          <w:szCs w:val="21"/>
        </w:rPr>
        <w:t>公开</w:t>
      </w:r>
      <w:r>
        <w:rPr>
          <w:rFonts w:ascii="宋体" w:hAnsi="宋体"/>
          <w:szCs w:val="21"/>
        </w:rPr>
        <w:t>发表</w: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论文、获得专利、竞赛获奖等，</w:t>
      </w:r>
      <w:r>
        <w:rPr>
          <w:rFonts w:hint="eastAsia" w:ascii="宋体" w:hAnsi="宋体"/>
          <w:szCs w:val="21"/>
        </w:rPr>
        <w:t>可根据有关规定冲抵通识教育选修课程的学分，最高4学分。</w:t>
      </w:r>
    </w:p>
    <w:p>
      <w:pPr>
        <w:tabs>
          <w:tab w:val="left" w:pos="630"/>
        </w:tabs>
        <w:spacing w:after="156" w:afterLines="50"/>
        <w:rPr>
          <w:rFonts w:ascii="宋体" w:hAnsi="宋体"/>
          <w:b/>
          <w:bCs/>
          <w:spacing w:val="20"/>
          <w:szCs w:val="21"/>
        </w:rPr>
      </w:pPr>
    </w:p>
    <w:p>
      <w:pPr>
        <w:widowControl/>
        <w:jc w:val="left"/>
        <w:rPr>
          <w:rFonts w:ascii="宋体" w:hAnsi="宋体"/>
          <w:b/>
          <w:bCs/>
          <w:spacing w:val="20"/>
          <w:szCs w:val="21"/>
        </w:rPr>
      </w:pPr>
      <w:r>
        <w:rPr>
          <w:rFonts w:ascii="宋体" w:hAnsi="宋体"/>
          <w:b/>
          <w:bCs/>
          <w:spacing w:val="20"/>
          <w:szCs w:val="21"/>
        </w:rPr>
        <w:br w:type="page"/>
      </w:r>
    </w:p>
    <w:p>
      <w:pPr>
        <w:tabs>
          <w:tab w:val="left" w:pos="630"/>
        </w:tabs>
        <w:spacing w:after="156" w:afterLines="50"/>
        <w:rPr>
          <w:rFonts w:ascii="宋体" w:hAnsi="宋体"/>
          <w:b/>
          <w:bCs/>
          <w:spacing w:val="20"/>
          <w:szCs w:val="21"/>
        </w:rPr>
      </w:pPr>
      <w:r>
        <w:rPr>
          <w:rFonts w:hint="eastAsia" w:ascii="宋体" w:hAnsi="宋体"/>
          <w:b/>
          <w:bCs/>
          <w:spacing w:val="20"/>
          <w:szCs w:val="21"/>
        </w:rPr>
        <w:t xml:space="preserve">附表一 </w:t>
      </w:r>
    </w:p>
    <w:p>
      <w:pPr>
        <w:tabs>
          <w:tab w:val="left" w:pos="630"/>
        </w:tabs>
        <w:spacing w:after="156" w:afterLines="50"/>
        <w:jc w:val="center"/>
        <w:rPr>
          <w:rFonts w:ascii="宋体" w:hAnsi="宋体"/>
          <w:b/>
          <w:bCs/>
          <w:spacing w:val="20"/>
          <w:sz w:val="24"/>
        </w:rPr>
      </w:pPr>
      <w:r>
        <w:rPr>
          <w:rFonts w:hint="eastAsia" w:ascii="宋体" w:hAnsi="宋体"/>
          <w:b/>
          <w:bCs/>
          <w:spacing w:val="20"/>
          <w:sz w:val="24"/>
        </w:rPr>
        <w:t>通识教育课程</w:t>
      </w:r>
    </w:p>
    <w:tbl>
      <w:tblPr>
        <w:tblStyle w:val="9"/>
        <w:tblW w:w="98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"/>
        <w:gridCol w:w="1073"/>
        <w:gridCol w:w="2307"/>
        <w:gridCol w:w="567"/>
        <w:gridCol w:w="528"/>
        <w:gridCol w:w="567"/>
        <w:gridCol w:w="549"/>
        <w:gridCol w:w="549"/>
        <w:gridCol w:w="550"/>
        <w:gridCol w:w="549"/>
        <w:gridCol w:w="549"/>
        <w:gridCol w:w="550"/>
        <w:gridCol w:w="549"/>
        <w:gridCol w:w="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  <w:jc w:val="center"/>
        </w:trPr>
        <w:tc>
          <w:tcPr>
            <w:tcW w:w="41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课程性质</w:t>
            </w:r>
          </w:p>
        </w:tc>
        <w:tc>
          <w:tcPr>
            <w:tcW w:w="107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课程编码</w:t>
            </w:r>
          </w:p>
        </w:tc>
        <w:tc>
          <w:tcPr>
            <w:tcW w:w="230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1095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时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</w:t>
            </w:r>
          </w:p>
        </w:tc>
        <w:tc>
          <w:tcPr>
            <w:tcW w:w="4395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各学期学时分布（周学时）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第一学年</w:t>
            </w:r>
          </w:p>
        </w:tc>
        <w:tc>
          <w:tcPr>
            <w:tcW w:w="109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第二学年</w:t>
            </w:r>
          </w:p>
        </w:tc>
        <w:tc>
          <w:tcPr>
            <w:tcW w:w="109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第三学年</w:t>
            </w:r>
          </w:p>
        </w:tc>
        <w:tc>
          <w:tcPr>
            <w:tcW w:w="109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第四学年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三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四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六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七</w:t>
            </w: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必修课程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TJB11017</w:t>
            </w:r>
          </w:p>
        </w:tc>
        <w:tc>
          <w:tcPr>
            <w:tcW w:w="2307" w:type="dxa"/>
            <w:vAlign w:val="center"/>
          </w:tcPr>
          <w:p>
            <w:pPr>
              <w:spacing w:line="24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思想道德修养与法律基础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宋体" w:hAnsi="宋体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TJB110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307" w:type="dxa"/>
            <w:vAlign w:val="center"/>
          </w:tcPr>
          <w:p>
            <w:pPr>
              <w:spacing w:line="24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中国近现代史纲要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TJB11010</w:t>
            </w:r>
          </w:p>
        </w:tc>
        <w:tc>
          <w:tcPr>
            <w:tcW w:w="2307" w:type="dxa"/>
            <w:vAlign w:val="center"/>
          </w:tcPr>
          <w:p>
            <w:pPr>
              <w:spacing w:line="24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形势与政策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（1）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2197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TJB11004</w:t>
            </w:r>
          </w:p>
        </w:tc>
        <w:tc>
          <w:tcPr>
            <w:tcW w:w="2307" w:type="dxa"/>
            <w:vAlign w:val="center"/>
          </w:tcPr>
          <w:p>
            <w:pPr>
              <w:spacing w:line="24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毛泽东思想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和中国特色社会主义理论体系概论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宋体" w:hAnsi="宋体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TJB11018</w:t>
            </w:r>
          </w:p>
        </w:tc>
        <w:tc>
          <w:tcPr>
            <w:tcW w:w="2307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马克思主义基本原理概论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TJB11023</w:t>
            </w:r>
          </w:p>
        </w:tc>
        <w:tc>
          <w:tcPr>
            <w:tcW w:w="2307" w:type="dxa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马克思主义中国化进程与青年学生使命担当</w:t>
            </w:r>
          </w:p>
        </w:tc>
        <w:tc>
          <w:tcPr>
            <w:tcW w:w="567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52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18"/>
                <w:szCs w:val="18"/>
              </w:rPr>
              <w:t>20</w:t>
            </w:r>
          </w:p>
        </w:tc>
        <w:tc>
          <w:tcPr>
            <w:tcW w:w="54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TJB1300</w:t>
            </w:r>
            <w:r>
              <w:rPr>
                <w:rFonts w:hint="eastAsia"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2307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大学生心理健康教育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TJB10001</w:t>
            </w:r>
          </w:p>
        </w:tc>
        <w:tc>
          <w:tcPr>
            <w:tcW w:w="2307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体育（1）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TJB10002</w:t>
            </w:r>
          </w:p>
        </w:tc>
        <w:tc>
          <w:tcPr>
            <w:tcW w:w="2307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体育（2）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TJB10003</w:t>
            </w:r>
          </w:p>
        </w:tc>
        <w:tc>
          <w:tcPr>
            <w:tcW w:w="2307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体育（3）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TJB10004</w:t>
            </w:r>
          </w:p>
        </w:tc>
        <w:tc>
          <w:tcPr>
            <w:tcW w:w="2307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体育（4）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TJB04003</w:t>
            </w:r>
          </w:p>
        </w:tc>
        <w:tc>
          <w:tcPr>
            <w:tcW w:w="2307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大学语文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TJB10009</w:t>
            </w:r>
          </w:p>
        </w:tc>
        <w:tc>
          <w:tcPr>
            <w:tcW w:w="2307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高等数学（1）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TJB10010</w:t>
            </w:r>
          </w:p>
        </w:tc>
        <w:tc>
          <w:tcPr>
            <w:tcW w:w="2307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高等数学（2）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TJB10007</w:t>
            </w:r>
          </w:p>
        </w:tc>
        <w:tc>
          <w:tcPr>
            <w:tcW w:w="2307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线性代数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TJB10008</w:t>
            </w:r>
          </w:p>
        </w:tc>
        <w:tc>
          <w:tcPr>
            <w:tcW w:w="2307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概率论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TJB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06003</w:t>
            </w:r>
          </w:p>
        </w:tc>
        <w:tc>
          <w:tcPr>
            <w:tcW w:w="2307" w:type="dxa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MBA基础 </w:t>
            </w:r>
          </w:p>
        </w:tc>
        <w:tc>
          <w:tcPr>
            <w:tcW w:w="567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52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54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4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TJB1</w:t>
            </w:r>
            <w:r>
              <w:rPr>
                <w:rFonts w:hint="eastAsia" w:ascii="宋体" w:hAnsi="宋体" w:cs="宋体"/>
                <w:sz w:val="18"/>
                <w:szCs w:val="18"/>
              </w:rPr>
              <w:t>1021</w:t>
            </w:r>
          </w:p>
        </w:tc>
        <w:tc>
          <w:tcPr>
            <w:tcW w:w="2307" w:type="dxa"/>
            <w:vAlign w:val="center"/>
          </w:tcPr>
          <w:p>
            <w:pPr>
              <w:spacing w:line="240" w:lineRule="atLeas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军事理论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55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atLeast"/>
          <w:jc w:val="center"/>
        </w:trPr>
        <w:tc>
          <w:tcPr>
            <w:tcW w:w="3791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合  计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5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5"/>
                <w:szCs w:val="18"/>
                <w14:textFill>
                  <w14:solidFill>
                    <w14:schemeClr w14:val="tx1"/>
                  </w14:solidFill>
                </w14:textFill>
              </w:rPr>
              <w:t>7（</w:t>
            </w:r>
            <w:r>
              <w:rPr>
                <w:rFonts w:ascii="宋体" w:hAnsi="宋体"/>
                <w:b/>
                <w:color w:val="000000" w:themeColor="text1"/>
                <w:sz w:val="15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/>
                <w:b/>
                <w:color w:val="000000" w:themeColor="text1"/>
                <w:sz w:val="15"/>
                <w:szCs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668</w:t>
            </w:r>
          </w:p>
        </w:tc>
        <w:tc>
          <w:tcPr>
            <w:tcW w:w="549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549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550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549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54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55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54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55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" w:hRule="atLeast"/>
          <w:jc w:val="center"/>
        </w:trPr>
        <w:tc>
          <w:tcPr>
            <w:tcW w:w="3791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38(3)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ind w:firstLine="360" w:firstLineChars="200"/>
        <w:rPr>
          <w:sz w:val="18"/>
          <w:szCs w:val="18"/>
        </w:rPr>
      </w:pPr>
      <w:r>
        <w:rPr>
          <w:rFonts w:hint="eastAsia"/>
          <w:sz w:val="18"/>
          <w:szCs w:val="18"/>
        </w:rPr>
        <w:t>注</w:t>
      </w:r>
      <w:r>
        <w:rPr>
          <w:rFonts w:hint="eastAsia" w:ascii="宋体" w:hAnsi="宋体"/>
          <w:sz w:val="18"/>
          <w:szCs w:val="18"/>
        </w:rPr>
        <w:t>：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①</w:t>
      </w:r>
      <w:r>
        <w:rPr>
          <w:rFonts w:hint="eastAsia"/>
          <w:sz w:val="18"/>
          <w:szCs w:val="18"/>
        </w:rPr>
        <w:t>“社会实践”3学分，由思想政治理论课教学部组织落实，团委和招生就业指导处协助开展具体工作。其中，思想政治理论课教学部组织《社会实践1》，共1学分，于第二学期认定学分；思想政治理论课教学部和团委组织《社会实践2》，共1学分，于第七学期认定学分；思想政治理论课教学部和</w:t>
      </w:r>
      <w:r>
        <w:rPr>
          <w:sz w:val="18"/>
          <w:szCs w:val="18"/>
        </w:rPr>
        <w:t>招生就业</w:t>
      </w:r>
      <w:r>
        <w:rPr>
          <w:rFonts w:hint="eastAsia"/>
          <w:sz w:val="18"/>
          <w:szCs w:val="18"/>
        </w:rPr>
        <w:t>指导处</w:t>
      </w:r>
      <w:r>
        <w:rPr>
          <w:sz w:val="18"/>
          <w:szCs w:val="18"/>
        </w:rPr>
        <w:t>组织《</w:t>
      </w:r>
      <w:r>
        <w:rPr>
          <w:rFonts w:hint="eastAsia"/>
          <w:sz w:val="18"/>
          <w:szCs w:val="18"/>
        </w:rPr>
        <w:t>职业规划与就业创业指导</w:t>
      </w:r>
      <w:r>
        <w:rPr>
          <w:sz w:val="18"/>
          <w:szCs w:val="18"/>
        </w:rPr>
        <w:t>（1）</w:t>
      </w:r>
      <w:r>
        <w:rPr>
          <w:rFonts w:hint="eastAsia"/>
          <w:sz w:val="18"/>
          <w:szCs w:val="18"/>
        </w:rPr>
        <w:t>、（2）</w:t>
      </w:r>
      <w:r>
        <w:rPr>
          <w:sz w:val="18"/>
          <w:szCs w:val="18"/>
        </w:rPr>
        <w:t>》</w:t>
      </w:r>
      <w:r>
        <w:rPr>
          <w:rFonts w:hint="eastAsia"/>
          <w:sz w:val="18"/>
          <w:szCs w:val="18"/>
        </w:rPr>
        <w:t>，共1学分，</w:t>
      </w:r>
      <w:r>
        <w:rPr>
          <w:sz w:val="18"/>
          <w:szCs w:val="18"/>
        </w:rPr>
        <w:t>38学时，分别于第二、第七学期开设，每学期0.5学分，分别为18、20学时</w:t>
      </w:r>
      <w:r>
        <w:rPr>
          <w:rFonts w:hint="eastAsia"/>
          <w:sz w:val="18"/>
          <w:szCs w:val="18"/>
        </w:rPr>
        <w:t>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②《形势与政策》课在第1-4学期每学期开设8学时，共32学时，每个学期安排考核并录入成绩，由思想政治理论课教学部统一安排。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③《马克思主义中国化进程与青年学生使命担当》课1学分、2学时/周，共20学时，于第1学期第2-11周上课，由思想政治理论课教学部统一安排。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④《体育》课1学分/学期，2学时/周。有较高的专项技术技能并代表学校参加比赛的校运动队队员，可由体育俱乐部考核冲抵相关体育学分，由体育部负责。</w:t>
      </w:r>
    </w:p>
    <w:p>
      <w:pPr>
        <w:tabs>
          <w:tab w:val="left" w:pos="13727"/>
        </w:tabs>
        <w:spacing w:line="28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⑤通识教育选修课要求各专业学生必须修满14学分。其中，人文艺术类通识教育选修课程不少于4学分，社会科学类通识教育选修课程不少于4学分，自然科学类通识教育选修课程不少于2学分。</w:t>
      </w:r>
    </w:p>
    <w:p>
      <w:pPr>
        <w:tabs>
          <w:tab w:val="left" w:pos="13727"/>
        </w:tabs>
        <w:spacing w:line="28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全体学生至少要在人文艺术类通识教育选修课模块中修读1门公共艺术课程，并通过考核获得2学分，方能毕业。</w:t>
      </w:r>
    </w:p>
    <w:p>
      <w:pPr>
        <w:spacing w:after="156" w:afterLines="50"/>
        <w:rPr>
          <w:rFonts w:ascii="宋体" w:hAnsi="宋体"/>
          <w:b/>
          <w:bCs/>
          <w:spacing w:val="20"/>
          <w:szCs w:val="21"/>
        </w:rPr>
      </w:pPr>
      <w:r>
        <w:rPr>
          <w:rFonts w:hint="eastAsia" w:ascii="宋体" w:hAnsi="宋体"/>
          <w:b/>
          <w:bCs/>
          <w:spacing w:val="20"/>
          <w:szCs w:val="21"/>
        </w:rPr>
        <w:t>附表二</w:t>
      </w:r>
    </w:p>
    <w:p>
      <w:pPr>
        <w:tabs>
          <w:tab w:val="left" w:pos="630"/>
        </w:tabs>
        <w:spacing w:after="156" w:afterLines="50"/>
        <w:jc w:val="center"/>
        <w:rPr>
          <w:rFonts w:ascii="宋体" w:hAnsi="宋体"/>
          <w:b/>
          <w:bCs/>
          <w:spacing w:val="20"/>
          <w:sz w:val="24"/>
        </w:rPr>
      </w:pPr>
      <w:r>
        <w:rPr>
          <w:rFonts w:hint="eastAsia" w:ascii="宋体" w:hAnsi="宋体"/>
          <w:b/>
          <w:bCs/>
          <w:spacing w:val="20"/>
          <w:sz w:val="24"/>
        </w:rPr>
        <w:t>大学外语教育课程</w:t>
      </w:r>
    </w:p>
    <w:tbl>
      <w:tblPr>
        <w:tblStyle w:val="9"/>
        <w:tblpPr w:leftFromText="180" w:rightFromText="180" w:vertAnchor="text" w:tblpXSpec="center" w:tblpY="1"/>
        <w:tblOverlap w:val="never"/>
        <w:tblW w:w="97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"/>
        <w:gridCol w:w="1142"/>
        <w:gridCol w:w="1581"/>
        <w:gridCol w:w="498"/>
        <w:gridCol w:w="496"/>
        <w:gridCol w:w="524"/>
        <w:gridCol w:w="636"/>
        <w:gridCol w:w="540"/>
        <w:gridCol w:w="606"/>
        <w:gridCol w:w="654"/>
        <w:gridCol w:w="624"/>
        <w:gridCol w:w="720"/>
        <w:gridCol w:w="636"/>
        <w:gridCol w:w="6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bookmarkStart w:id="0" w:name="_Hlk30428224"/>
            <w:r>
              <w:rPr>
                <w:rFonts w:hint="eastAsia" w:ascii="宋体" w:hAnsi="宋体"/>
              </w:rPr>
              <w:t>课</w:t>
            </w:r>
          </w:p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程</w:t>
            </w:r>
          </w:p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性</w:t>
            </w:r>
          </w:p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质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课程编码</w:t>
            </w:r>
          </w:p>
        </w:tc>
        <w:tc>
          <w:tcPr>
            <w:tcW w:w="15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课程名称</w:t>
            </w:r>
          </w:p>
        </w:tc>
        <w:tc>
          <w:tcPr>
            <w:tcW w:w="99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学分数</w:t>
            </w:r>
          </w:p>
        </w:tc>
        <w:tc>
          <w:tcPr>
            <w:tcW w:w="5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学</w:t>
            </w:r>
          </w:p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时</w:t>
            </w:r>
          </w:p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总</w:t>
            </w:r>
          </w:p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数</w:t>
            </w:r>
          </w:p>
        </w:tc>
        <w:tc>
          <w:tcPr>
            <w:tcW w:w="50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各学期学时分布（周学时）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</w:trPr>
        <w:tc>
          <w:tcPr>
            <w:tcW w:w="31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49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5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第一学年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第二学年</w:t>
            </w:r>
          </w:p>
        </w:tc>
        <w:tc>
          <w:tcPr>
            <w:tcW w:w="13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第三学年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第四学年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</w:trPr>
        <w:tc>
          <w:tcPr>
            <w:tcW w:w="31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理</w:t>
            </w:r>
          </w:p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论</w:t>
            </w:r>
          </w:p>
        </w:tc>
        <w:tc>
          <w:tcPr>
            <w:tcW w:w="4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实</w:t>
            </w:r>
          </w:p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践</w:t>
            </w:r>
          </w:p>
        </w:tc>
        <w:tc>
          <w:tcPr>
            <w:tcW w:w="5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一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二</w:t>
            </w: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三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四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五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六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七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</w:trPr>
        <w:tc>
          <w:tcPr>
            <w:tcW w:w="31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9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5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14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16</w:t>
            </w: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16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16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16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16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必</w:t>
            </w:r>
          </w:p>
          <w:p>
            <w:pPr>
              <w:spacing w:line="240" w:lineRule="exact"/>
              <w:jc w:val="center"/>
              <w:rPr>
                <w:rFonts w:hint="eastAsia"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修</w:t>
            </w:r>
          </w:p>
          <w:p>
            <w:pPr>
              <w:spacing w:line="240" w:lineRule="exact"/>
              <w:jc w:val="center"/>
              <w:rPr>
                <w:rFonts w:hint="eastAsia"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</w:t>
            </w:r>
          </w:p>
          <w:p>
            <w:pPr>
              <w:spacing w:line="240" w:lineRule="exact"/>
              <w:jc w:val="center"/>
              <w:rPr>
                <w:rFonts w:hint="eastAsia"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程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WJB09064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大学英语（1）</w:t>
            </w: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2</w:t>
            </w: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56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31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WJB09065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大学英语（2）</w:t>
            </w: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2</w:t>
            </w: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64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31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WJB09066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大学英语（3）</w:t>
            </w: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2</w:t>
            </w: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4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31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WJB09051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英语视听说（1）</w:t>
            </w: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1</w:t>
            </w: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31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WJB09052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英语视听说（2）</w:t>
            </w: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1</w:t>
            </w: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31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WJB09061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英语口语（1）</w:t>
            </w: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1</w:t>
            </w: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31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WJB09058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英语口语（2）</w:t>
            </w: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1</w:t>
            </w: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选</w:t>
            </w:r>
          </w:p>
          <w:p>
            <w:pPr>
              <w:spacing w:line="240" w:lineRule="exact"/>
              <w:jc w:val="center"/>
              <w:rPr>
                <w:rFonts w:hint="eastAsia"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修</w:t>
            </w:r>
          </w:p>
          <w:p>
            <w:pPr>
              <w:spacing w:line="240" w:lineRule="exact"/>
              <w:jc w:val="center"/>
              <w:rPr>
                <w:rFonts w:hint="eastAsia"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</w:t>
            </w:r>
          </w:p>
          <w:p>
            <w:pPr>
              <w:spacing w:line="240" w:lineRule="exact"/>
              <w:jc w:val="center"/>
              <w:rPr>
                <w:rFonts w:hint="eastAsia"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程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WJX09029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高级英语</w:t>
            </w: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1</w:t>
            </w: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31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WJX09030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综合商务英语</w:t>
            </w: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1</w:t>
            </w: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31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WJX09031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商务英语写作</w:t>
            </w: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1</w:t>
            </w: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31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WJX09032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金融英语</w:t>
            </w: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1</w:t>
            </w: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31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WJX09033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会展英语</w:t>
            </w: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1</w:t>
            </w: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31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WJX09034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旅游英语</w:t>
            </w: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1</w:t>
            </w: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31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WJX09035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市场营销英语</w:t>
            </w: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1</w:t>
            </w: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31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WJX09036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科技英语</w:t>
            </w: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1</w:t>
            </w: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31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WJX09023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英语文学选读与鉴赏</w:t>
            </w: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1</w:t>
            </w: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31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WJX09024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英国概况</w:t>
            </w: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1</w:t>
            </w: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31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WJX09012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美国概况</w:t>
            </w: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1</w:t>
            </w: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31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WJX09027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中国文化概况（英语）</w:t>
            </w: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1</w:t>
            </w: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31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WJX09028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英语报刊选读</w:t>
            </w: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1</w:t>
            </w: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31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WJX09007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跨文化交际</w:t>
            </w: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1</w:t>
            </w: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</w:trPr>
        <w:tc>
          <w:tcPr>
            <w:tcW w:w="315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b/>
                <w:szCs w:val="18"/>
              </w:rPr>
            </w:pPr>
            <w:r>
              <w:rPr>
                <w:rFonts w:hint="eastAsia" w:ascii="宋体" w:hAnsi="宋体"/>
                <w:b/>
                <w:szCs w:val="18"/>
              </w:rPr>
              <w:t>合计</w:t>
            </w: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b/>
                <w:szCs w:val="18"/>
              </w:rPr>
            </w:pPr>
            <w:r>
              <w:rPr>
                <w:rFonts w:hint="eastAsia" w:ascii="宋体" w:hAnsi="宋体"/>
                <w:b/>
                <w:szCs w:val="18"/>
              </w:rPr>
              <w:t>12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b/>
                <w:szCs w:val="18"/>
              </w:rPr>
            </w:pPr>
            <w:r>
              <w:rPr>
                <w:rFonts w:hint="eastAsia" w:ascii="宋体" w:hAnsi="宋体"/>
                <w:b/>
                <w:szCs w:val="18"/>
              </w:rPr>
              <w:t>12</w:t>
            </w:r>
          </w:p>
        </w:tc>
        <w:tc>
          <w:tcPr>
            <w:tcW w:w="5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b/>
                <w:sz w:val="20"/>
                <w:szCs w:val="16"/>
              </w:rPr>
            </w:pPr>
            <w:r>
              <w:rPr>
                <w:rFonts w:hint="eastAsia" w:ascii="宋体" w:hAnsi="宋体"/>
                <w:b/>
                <w:sz w:val="20"/>
                <w:szCs w:val="16"/>
              </w:rPr>
              <w:t>368</w:t>
            </w:r>
          </w:p>
        </w:tc>
        <w:tc>
          <w:tcPr>
            <w:tcW w:w="6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b/>
                <w:szCs w:val="18"/>
              </w:rPr>
            </w:pPr>
            <w:r>
              <w:rPr>
                <w:rFonts w:hint="eastAsia" w:ascii="宋体" w:hAnsi="宋体"/>
                <w:b/>
                <w:szCs w:val="18"/>
              </w:rPr>
              <w:t>8</w:t>
            </w:r>
          </w:p>
        </w:tc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b/>
                <w:szCs w:val="18"/>
              </w:rPr>
            </w:pPr>
            <w:r>
              <w:rPr>
                <w:rFonts w:hint="eastAsia" w:ascii="宋体"/>
                <w:b/>
                <w:szCs w:val="18"/>
              </w:rPr>
              <w:t>8</w:t>
            </w:r>
          </w:p>
        </w:tc>
        <w:tc>
          <w:tcPr>
            <w:tcW w:w="6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b/>
                <w:szCs w:val="18"/>
              </w:rPr>
            </w:pPr>
            <w:r>
              <w:rPr>
                <w:rFonts w:hint="eastAsia" w:ascii="宋体"/>
                <w:b/>
                <w:szCs w:val="18"/>
              </w:rPr>
              <w:t>4</w:t>
            </w:r>
          </w:p>
        </w:tc>
        <w:tc>
          <w:tcPr>
            <w:tcW w:w="6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b/>
                <w:szCs w:val="18"/>
              </w:rPr>
            </w:pPr>
            <w:r>
              <w:rPr>
                <w:rFonts w:hint="eastAsia" w:ascii="宋体" w:hAnsi="宋体"/>
                <w:b/>
                <w:szCs w:val="18"/>
              </w:rPr>
              <w:t>2</w:t>
            </w:r>
          </w:p>
        </w:tc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b/>
                <w:szCs w:val="18"/>
              </w:rPr>
            </w:pPr>
            <w:r>
              <w:rPr>
                <w:rFonts w:hint="eastAsia" w:ascii="宋体" w:hAnsi="宋体"/>
                <w:b/>
                <w:szCs w:val="18"/>
              </w:rPr>
              <w:t>2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b/>
                <w:szCs w:val="18"/>
              </w:rPr>
            </w:pPr>
            <w:r>
              <w:rPr>
                <w:rFonts w:hint="eastAsia" w:ascii="宋体" w:hAnsi="宋体"/>
                <w:b/>
                <w:szCs w:val="18"/>
              </w:rPr>
              <w:t>—</w:t>
            </w:r>
          </w:p>
        </w:tc>
        <w:tc>
          <w:tcPr>
            <w:tcW w:w="6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b/>
                <w:szCs w:val="18"/>
              </w:rPr>
            </w:pPr>
            <w:r>
              <w:rPr>
                <w:rFonts w:hint="eastAsia" w:ascii="宋体" w:hAnsi="宋体"/>
                <w:b/>
                <w:szCs w:val="18"/>
              </w:rPr>
              <w:t>—</w:t>
            </w:r>
          </w:p>
        </w:tc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b/>
                <w:szCs w:val="18"/>
              </w:rPr>
            </w:pPr>
            <w:r>
              <w:rPr>
                <w:rFonts w:hint="eastAsia" w:ascii="宋体" w:hAnsi="宋体"/>
                <w:b/>
                <w:szCs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</w:trPr>
        <w:tc>
          <w:tcPr>
            <w:tcW w:w="587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b/>
                <w:szCs w:val="18"/>
              </w:rPr>
            </w:pPr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</w:rPr>
            </w:pPr>
            <w:r>
              <w:rPr>
                <w:rFonts w:hint="eastAsia" w:ascii="宋体" w:hAnsi="宋体"/>
                <w:b/>
              </w:rPr>
              <w:t>24</w:t>
            </w:r>
          </w:p>
          <w:bookmarkEnd w:id="0"/>
        </w:tc>
        <w:tc>
          <w:tcPr>
            <w:tcW w:w="5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b/>
                <w:sz w:val="20"/>
                <w:szCs w:val="16"/>
              </w:rPr>
            </w:pPr>
          </w:p>
        </w:tc>
        <w:tc>
          <w:tcPr>
            <w:tcW w:w="5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b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b/>
                <w:szCs w:val="18"/>
              </w:rPr>
            </w:pPr>
          </w:p>
        </w:tc>
        <w:tc>
          <w:tcPr>
            <w:tcW w:w="1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b/>
                <w:szCs w:val="18"/>
              </w:rPr>
            </w:pPr>
          </w:p>
        </w:tc>
        <w:tc>
          <w:tcPr>
            <w:tcW w:w="6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b/>
                <w:szCs w:val="18"/>
              </w:rPr>
            </w:pPr>
          </w:p>
        </w:tc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b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b/>
                <w:szCs w:val="18"/>
              </w:rPr>
            </w:pPr>
          </w:p>
        </w:tc>
        <w:tc>
          <w:tcPr>
            <w:tcW w:w="1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b/>
                <w:szCs w:val="18"/>
              </w:rPr>
            </w:pPr>
          </w:p>
        </w:tc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b/>
                <w:szCs w:val="18"/>
              </w:rPr>
            </w:pPr>
          </w:p>
        </w:tc>
      </w:tr>
    </w:tbl>
    <w:p>
      <w:pPr>
        <w:spacing w:line="300" w:lineRule="auto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注：①大学外语教育选修课程不可重复选修。</w:t>
      </w:r>
    </w:p>
    <w:p>
      <w:pPr>
        <w:spacing w:line="300" w:lineRule="auto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②所有学生须在第四、五学期分别选修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门大学外语教育选修课程。</w:t>
      </w:r>
    </w:p>
    <w:p/>
    <w:p>
      <w:pPr>
        <w:spacing w:line="300" w:lineRule="auto"/>
        <w:rPr>
          <w:rFonts w:ascii="宋体" w:hAnsi="宋体"/>
          <w:sz w:val="18"/>
          <w:szCs w:val="18"/>
        </w:rPr>
      </w:pPr>
    </w:p>
    <w:p>
      <w:pPr>
        <w:rPr>
          <w:rFonts w:ascii="宋体" w:hAnsi="宋体"/>
          <w:b/>
          <w:bCs/>
          <w:spacing w:val="20"/>
          <w:szCs w:val="21"/>
        </w:rPr>
      </w:pPr>
      <w:r>
        <w:rPr>
          <w:rFonts w:ascii="宋体" w:hAnsi="宋体"/>
          <w:sz w:val="18"/>
          <w:szCs w:val="18"/>
        </w:rPr>
        <w:br w:type="page"/>
      </w:r>
      <w:r>
        <w:rPr>
          <w:rFonts w:hint="eastAsia" w:ascii="宋体" w:hAnsi="宋体"/>
          <w:b/>
          <w:bCs/>
          <w:spacing w:val="20"/>
          <w:szCs w:val="21"/>
        </w:rPr>
        <w:t xml:space="preserve">附表三                    </w:t>
      </w:r>
    </w:p>
    <w:p>
      <w:pPr>
        <w:jc w:val="center"/>
        <w:rPr>
          <w:rFonts w:ascii="宋体" w:hAnsi="宋体" w:cs="宋体"/>
          <w:b/>
          <w:bCs/>
          <w:spacing w:val="20"/>
          <w:sz w:val="24"/>
        </w:rPr>
      </w:pPr>
      <w:r>
        <w:rPr>
          <w:rFonts w:hint="eastAsia" w:ascii="宋体" w:hAnsi="宋体" w:cs="宋体"/>
          <w:b/>
          <w:bCs/>
          <w:spacing w:val="20"/>
          <w:sz w:val="24"/>
        </w:rPr>
        <w:t>专业教育课程</w:t>
      </w:r>
    </w:p>
    <w:tbl>
      <w:tblPr>
        <w:tblStyle w:val="9"/>
        <w:tblW w:w="9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276"/>
        <w:gridCol w:w="1984"/>
        <w:gridCol w:w="567"/>
        <w:gridCol w:w="567"/>
        <w:gridCol w:w="721"/>
        <w:gridCol w:w="538"/>
        <w:gridCol w:w="508"/>
        <w:gridCol w:w="508"/>
        <w:gridCol w:w="508"/>
        <w:gridCol w:w="508"/>
        <w:gridCol w:w="508"/>
        <w:gridCol w:w="508"/>
        <w:gridCol w:w="5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" w:hRule="atLeast"/>
          <w:tblHeader/>
          <w:jc w:val="center"/>
        </w:trPr>
        <w:tc>
          <w:tcPr>
            <w:tcW w:w="708" w:type="dxa"/>
            <w:vMerge w:val="restart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20"/>
                <w:sz w:val="24"/>
              </w:rPr>
              <w:br w:type="page"/>
            </w:r>
            <w:r>
              <w:rPr>
                <w:rFonts w:hint="eastAsia" w:ascii="宋体" w:hAnsi="宋体" w:cs="宋体"/>
                <w:szCs w:val="21"/>
              </w:rPr>
              <w:t>课程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性质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课程编码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课程名称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</w:t>
            </w:r>
          </w:p>
          <w:p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分</w:t>
            </w:r>
          </w:p>
          <w:p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</w:t>
            </w:r>
          </w:p>
        </w:tc>
        <w:tc>
          <w:tcPr>
            <w:tcW w:w="72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时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总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</w:t>
            </w:r>
          </w:p>
        </w:tc>
        <w:tc>
          <w:tcPr>
            <w:tcW w:w="4095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各学期学时分布</w:t>
            </w:r>
            <w:r>
              <w:rPr>
                <w:rFonts w:ascii="宋体" w:hAnsi="宋体"/>
                <w:szCs w:val="21"/>
              </w:rPr>
              <w:t xml:space="preserve">  (</w:t>
            </w:r>
            <w:r>
              <w:rPr>
                <w:rFonts w:hint="eastAsia" w:ascii="宋体" w:hAnsi="宋体" w:cs="宋体"/>
                <w:szCs w:val="21"/>
              </w:rPr>
              <w:t>周学时</w:t>
            </w:r>
            <w:r>
              <w:rPr>
                <w:rFonts w:ascii="宋体" w:hAnsi="宋体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" w:hRule="atLeast"/>
          <w:tblHeader/>
          <w:jc w:val="center"/>
        </w:trPr>
        <w:tc>
          <w:tcPr>
            <w:tcW w:w="70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第一学年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第二学年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第三学年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第四学年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" w:hRule="atLeast"/>
          <w:tblHeader/>
          <w:jc w:val="center"/>
        </w:trPr>
        <w:tc>
          <w:tcPr>
            <w:tcW w:w="70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一</w:t>
            </w:r>
          </w:p>
        </w:tc>
        <w:tc>
          <w:tcPr>
            <w:tcW w:w="50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二</w:t>
            </w:r>
          </w:p>
        </w:tc>
        <w:tc>
          <w:tcPr>
            <w:tcW w:w="50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三</w:t>
            </w:r>
          </w:p>
        </w:tc>
        <w:tc>
          <w:tcPr>
            <w:tcW w:w="50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四</w:t>
            </w:r>
          </w:p>
        </w:tc>
        <w:tc>
          <w:tcPr>
            <w:tcW w:w="50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五</w:t>
            </w:r>
          </w:p>
        </w:tc>
        <w:tc>
          <w:tcPr>
            <w:tcW w:w="50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六</w:t>
            </w:r>
          </w:p>
        </w:tc>
        <w:tc>
          <w:tcPr>
            <w:tcW w:w="50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七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" w:hRule="atLeast"/>
          <w:tblHeader/>
          <w:jc w:val="center"/>
        </w:trPr>
        <w:tc>
          <w:tcPr>
            <w:tcW w:w="70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84" w:type="dxa"/>
            <w:vMerge w:val="continue"/>
            <w:tcBorders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理论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实践</w:t>
            </w:r>
          </w:p>
        </w:tc>
        <w:tc>
          <w:tcPr>
            <w:tcW w:w="721" w:type="dxa"/>
            <w:vMerge w:val="continue"/>
            <w:tcBorders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38" w:type="dxa"/>
            <w:tcBorders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pacing w:val="-14"/>
                <w:szCs w:val="21"/>
              </w:rPr>
            </w:pPr>
            <w:r>
              <w:rPr>
                <w:rFonts w:ascii="宋体" w:hAnsi="宋体"/>
                <w:spacing w:val="-14"/>
                <w:szCs w:val="21"/>
              </w:rPr>
              <w:t>1</w:t>
            </w:r>
            <w:r>
              <w:rPr>
                <w:rFonts w:hint="eastAsia" w:ascii="宋体" w:hAnsi="宋体"/>
                <w:spacing w:val="-14"/>
                <w:szCs w:val="21"/>
              </w:rPr>
              <w:t>4</w:t>
            </w:r>
          </w:p>
        </w:tc>
        <w:tc>
          <w:tcPr>
            <w:tcW w:w="508" w:type="dxa"/>
            <w:tcBorders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pacing w:val="-14"/>
                <w:szCs w:val="21"/>
              </w:rPr>
            </w:pPr>
            <w:r>
              <w:rPr>
                <w:rFonts w:ascii="宋体" w:hAnsi="宋体"/>
                <w:spacing w:val="-14"/>
                <w:szCs w:val="21"/>
              </w:rPr>
              <w:t>1</w:t>
            </w:r>
            <w:r>
              <w:rPr>
                <w:rFonts w:hint="eastAsia" w:ascii="宋体" w:hAnsi="宋体"/>
                <w:spacing w:val="-14"/>
                <w:szCs w:val="21"/>
              </w:rPr>
              <w:t>6</w:t>
            </w:r>
          </w:p>
        </w:tc>
        <w:tc>
          <w:tcPr>
            <w:tcW w:w="508" w:type="dxa"/>
            <w:tcBorders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pacing w:val="-14"/>
                <w:szCs w:val="21"/>
              </w:rPr>
            </w:pPr>
            <w:r>
              <w:rPr>
                <w:rFonts w:ascii="宋体" w:hAnsi="宋体"/>
                <w:spacing w:val="-14"/>
                <w:szCs w:val="21"/>
              </w:rPr>
              <w:t>1</w:t>
            </w:r>
            <w:r>
              <w:rPr>
                <w:rFonts w:hint="eastAsia" w:ascii="宋体" w:hAnsi="宋体"/>
                <w:spacing w:val="-14"/>
                <w:szCs w:val="21"/>
              </w:rPr>
              <w:t>6</w:t>
            </w:r>
          </w:p>
        </w:tc>
        <w:tc>
          <w:tcPr>
            <w:tcW w:w="508" w:type="dxa"/>
            <w:tcBorders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pacing w:val="-14"/>
                <w:szCs w:val="21"/>
              </w:rPr>
            </w:pPr>
            <w:r>
              <w:rPr>
                <w:rFonts w:ascii="宋体" w:hAnsi="宋体"/>
                <w:spacing w:val="-14"/>
                <w:szCs w:val="21"/>
              </w:rPr>
              <w:t>1</w:t>
            </w:r>
            <w:r>
              <w:rPr>
                <w:rFonts w:hint="eastAsia" w:ascii="宋体" w:hAnsi="宋体"/>
                <w:spacing w:val="-14"/>
                <w:szCs w:val="21"/>
              </w:rPr>
              <w:t>6</w:t>
            </w:r>
          </w:p>
        </w:tc>
        <w:tc>
          <w:tcPr>
            <w:tcW w:w="508" w:type="dxa"/>
            <w:tcBorders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pacing w:val="-14"/>
                <w:szCs w:val="21"/>
              </w:rPr>
            </w:pPr>
            <w:r>
              <w:rPr>
                <w:rFonts w:ascii="宋体" w:hAnsi="宋体"/>
                <w:spacing w:val="-14"/>
                <w:szCs w:val="21"/>
              </w:rPr>
              <w:t>1</w:t>
            </w:r>
            <w:r>
              <w:rPr>
                <w:rFonts w:hint="eastAsia" w:ascii="宋体" w:hAnsi="宋体"/>
                <w:spacing w:val="-14"/>
                <w:szCs w:val="21"/>
              </w:rPr>
              <w:t>6</w:t>
            </w:r>
          </w:p>
        </w:tc>
        <w:tc>
          <w:tcPr>
            <w:tcW w:w="508" w:type="dxa"/>
            <w:tcBorders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pacing w:val="-14"/>
                <w:szCs w:val="21"/>
              </w:rPr>
            </w:pPr>
            <w:r>
              <w:rPr>
                <w:rFonts w:ascii="宋体" w:hAnsi="宋体"/>
                <w:spacing w:val="-14"/>
                <w:szCs w:val="21"/>
              </w:rPr>
              <w:t>1</w:t>
            </w:r>
            <w:r>
              <w:rPr>
                <w:rFonts w:hint="eastAsia" w:ascii="宋体" w:hAnsi="宋体"/>
                <w:spacing w:val="-14"/>
                <w:szCs w:val="21"/>
              </w:rPr>
              <w:t>6</w:t>
            </w:r>
          </w:p>
        </w:tc>
        <w:tc>
          <w:tcPr>
            <w:tcW w:w="508" w:type="dxa"/>
            <w:tcBorders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pacing w:val="-14"/>
                <w:szCs w:val="21"/>
              </w:rPr>
            </w:pPr>
            <w:r>
              <w:rPr>
                <w:rFonts w:ascii="宋体" w:hAnsi="宋体"/>
                <w:spacing w:val="-14"/>
                <w:szCs w:val="21"/>
              </w:rPr>
              <w:t>1</w:t>
            </w:r>
            <w:r>
              <w:rPr>
                <w:rFonts w:hint="eastAsia" w:ascii="宋体" w:hAnsi="宋体"/>
                <w:spacing w:val="-14"/>
                <w:szCs w:val="21"/>
              </w:rPr>
              <w:t>6</w:t>
            </w:r>
          </w:p>
        </w:tc>
        <w:tc>
          <w:tcPr>
            <w:tcW w:w="509" w:type="dxa"/>
            <w:tcBorders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pacing w:val="-14"/>
                <w:szCs w:val="21"/>
              </w:rPr>
            </w:pPr>
            <w:r>
              <w:rPr>
                <w:rFonts w:hint="eastAsia" w:ascii="宋体" w:hAnsi="宋体"/>
                <w:spacing w:val="-14"/>
                <w:szCs w:val="21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708" w:type="dxa"/>
            <w:vMerge w:val="restar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基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础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程</w:t>
            </w:r>
          </w:p>
        </w:tc>
        <w:tc>
          <w:tcPr>
            <w:tcW w:w="127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XJB08022</w:t>
            </w:r>
          </w:p>
        </w:tc>
        <w:tc>
          <w:tcPr>
            <w:tcW w:w="198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spacing w:line="240" w:lineRule="exact"/>
              <w:jc w:val="left"/>
              <w:rPr>
                <w:rFonts w:ascii="宋体" w:hAnsi="宋体"/>
                <w:spacing w:val="-10"/>
                <w:sz w:val="18"/>
                <w:szCs w:val="18"/>
              </w:rPr>
            </w:pPr>
            <w:r>
              <w:rPr>
                <w:rFonts w:hint="eastAsia" w:ascii="宋体" w:hAnsi="宋体"/>
                <w:spacing w:val="-10"/>
                <w:sz w:val="18"/>
                <w:szCs w:val="18"/>
              </w:rPr>
              <w:t>学术英语</w:t>
            </w:r>
            <w:r>
              <w:rPr>
                <w:rFonts w:hint="eastAsia" w:ascii="宋体" w:hAnsi="宋体"/>
                <w:sz w:val="18"/>
                <w:szCs w:val="18"/>
              </w:rPr>
              <w:t>Ⅰ</w:t>
            </w:r>
            <w:r>
              <w:rPr>
                <w:rFonts w:hint="eastAsia" w:ascii="宋体" w:hAnsi="宋体"/>
                <w:spacing w:val="-10"/>
                <w:sz w:val="18"/>
                <w:szCs w:val="18"/>
              </w:rPr>
              <w:t>（学科导论）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</w:t>
            </w:r>
          </w:p>
        </w:tc>
        <w:tc>
          <w:tcPr>
            <w:tcW w:w="53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708" w:type="dxa"/>
            <w:vMerge w:val="continue"/>
            <w:shd w:val="clear" w:color="auto" w:fill="auto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XJB08009</w:t>
            </w:r>
          </w:p>
        </w:tc>
        <w:tc>
          <w:tcPr>
            <w:tcW w:w="198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绘画基础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72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56</w:t>
            </w:r>
          </w:p>
        </w:tc>
        <w:tc>
          <w:tcPr>
            <w:tcW w:w="53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708" w:type="dxa"/>
            <w:vMerge w:val="continue"/>
            <w:shd w:val="clear" w:color="auto" w:fill="auto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XJB08010</w:t>
            </w:r>
          </w:p>
        </w:tc>
        <w:tc>
          <w:tcPr>
            <w:tcW w:w="198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色彩与平面构成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53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708" w:type="dxa"/>
            <w:vMerge w:val="continue"/>
            <w:shd w:val="clear" w:color="auto" w:fill="auto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XJB08014</w:t>
            </w:r>
          </w:p>
        </w:tc>
        <w:tc>
          <w:tcPr>
            <w:tcW w:w="198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*程序设计基础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72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</w:t>
            </w:r>
          </w:p>
        </w:tc>
        <w:tc>
          <w:tcPr>
            <w:tcW w:w="53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708" w:type="dxa"/>
            <w:vMerge w:val="continue"/>
            <w:shd w:val="clear" w:color="auto" w:fill="auto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XJB08006</w:t>
            </w:r>
          </w:p>
        </w:tc>
        <w:tc>
          <w:tcPr>
            <w:tcW w:w="198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</w:t>
            </w:r>
            <w:r>
              <w:rPr>
                <w:rFonts w:hint="eastAsia"/>
                <w:sz w:val="18"/>
              </w:rPr>
              <w:t>数据结构与算法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72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</w:t>
            </w:r>
          </w:p>
        </w:tc>
        <w:tc>
          <w:tcPr>
            <w:tcW w:w="53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708" w:type="dxa"/>
            <w:vMerge w:val="continue"/>
            <w:shd w:val="clear" w:color="auto" w:fill="auto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XJB08011</w:t>
            </w:r>
          </w:p>
        </w:tc>
        <w:tc>
          <w:tcPr>
            <w:tcW w:w="198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多媒体技术基础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53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0" w:hRule="atLeast"/>
          <w:jc w:val="center"/>
        </w:trPr>
        <w:tc>
          <w:tcPr>
            <w:tcW w:w="708" w:type="dxa"/>
            <w:vMerge w:val="continue"/>
            <w:shd w:val="clear" w:color="auto" w:fill="auto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小  计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9</w:t>
            </w:r>
          </w:p>
        </w:tc>
        <w:tc>
          <w:tcPr>
            <w:tcW w:w="72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322</w:t>
            </w:r>
          </w:p>
        </w:tc>
        <w:tc>
          <w:tcPr>
            <w:tcW w:w="53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7</w:t>
            </w: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7</w:t>
            </w: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7</w:t>
            </w: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—</w:t>
            </w: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—</w:t>
            </w: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—</w:t>
            </w: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—</w:t>
            </w:r>
          </w:p>
        </w:tc>
        <w:tc>
          <w:tcPr>
            <w:tcW w:w="50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3" w:hRule="atLeast"/>
          <w:jc w:val="center"/>
        </w:trPr>
        <w:tc>
          <w:tcPr>
            <w:tcW w:w="708" w:type="dxa"/>
            <w:vMerge w:val="restar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专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业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修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程</w:t>
            </w:r>
          </w:p>
        </w:tc>
        <w:tc>
          <w:tcPr>
            <w:tcW w:w="127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ZYB08028</w:t>
            </w:r>
          </w:p>
        </w:tc>
        <w:tc>
          <w:tcPr>
            <w:tcW w:w="198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造型基础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53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3" w:hRule="atLeast"/>
          <w:jc w:val="center"/>
        </w:trPr>
        <w:tc>
          <w:tcPr>
            <w:tcW w:w="708" w:type="dxa"/>
            <w:vMerge w:val="continue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ZYB08029</w:t>
            </w:r>
          </w:p>
        </w:tc>
        <w:tc>
          <w:tcPr>
            <w:tcW w:w="198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三维建模与动画设计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53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708" w:type="dxa"/>
            <w:vMerge w:val="continue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ZYB08002</w:t>
            </w:r>
          </w:p>
        </w:tc>
        <w:tc>
          <w:tcPr>
            <w:tcW w:w="198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*数据库原理与应用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53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708" w:type="dxa"/>
            <w:vMerge w:val="continue"/>
            <w:shd w:val="clear" w:color="auto" w:fill="auto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ZYB08026</w:t>
            </w:r>
          </w:p>
        </w:tc>
        <w:tc>
          <w:tcPr>
            <w:tcW w:w="198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数字摄影技术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53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708" w:type="dxa"/>
            <w:vMerge w:val="continue"/>
            <w:shd w:val="clear" w:color="auto" w:fill="auto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ZYB08021</w:t>
            </w:r>
          </w:p>
        </w:tc>
        <w:tc>
          <w:tcPr>
            <w:tcW w:w="198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*面向对象程序设计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53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708" w:type="dxa"/>
            <w:vMerge w:val="continue"/>
            <w:shd w:val="clear" w:color="auto" w:fill="auto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ZYB08040</w:t>
            </w:r>
          </w:p>
        </w:tc>
        <w:tc>
          <w:tcPr>
            <w:tcW w:w="198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*计算机图形学与数字图像处理</w:t>
            </w:r>
          </w:p>
        </w:tc>
        <w:tc>
          <w:tcPr>
            <w:tcW w:w="567" w:type="dxa"/>
            <w:tcBorders>
              <w:top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53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708" w:type="dxa"/>
            <w:vMerge w:val="continue"/>
            <w:shd w:val="clear" w:color="auto" w:fill="auto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ZYB08041</w:t>
            </w:r>
          </w:p>
        </w:tc>
        <w:tc>
          <w:tcPr>
            <w:tcW w:w="198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trike/>
                <w:sz w:val="18"/>
                <w:szCs w:val="18"/>
              </w:rPr>
            </w:pPr>
            <w:r>
              <w:rPr>
                <w:rFonts w:hint="eastAsia" w:ascii="宋体" w:hAnsi="宋体"/>
                <w:sz w:val="16"/>
                <w:szCs w:val="18"/>
              </w:rPr>
              <w:t>*计算机系统与网络技术</w:t>
            </w:r>
          </w:p>
        </w:tc>
        <w:tc>
          <w:tcPr>
            <w:tcW w:w="56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721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</w:t>
            </w:r>
          </w:p>
        </w:tc>
        <w:tc>
          <w:tcPr>
            <w:tcW w:w="53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trike/>
                <w:sz w:val="18"/>
                <w:szCs w:val="18"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trike/>
                <w:sz w:val="18"/>
                <w:szCs w:val="18"/>
              </w:rPr>
            </w:pP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trike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708" w:type="dxa"/>
            <w:vMerge w:val="continue"/>
            <w:shd w:val="clear" w:color="auto" w:fill="auto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ZYB08042</w:t>
            </w:r>
          </w:p>
        </w:tc>
        <w:tc>
          <w:tcPr>
            <w:tcW w:w="198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6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游戏引擎应用与开发</w:t>
            </w:r>
          </w:p>
        </w:tc>
        <w:tc>
          <w:tcPr>
            <w:tcW w:w="56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721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</w:t>
            </w:r>
          </w:p>
        </w:tc>
        <w:tc>
          <w:tcPr>
            <w:tcW w:w="53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trike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50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trike/>
                <w:sz w:val="18"/>
                <w:szCs w:val="18"/>
              </w:rPr>
            </w:pP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trike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708" w:type="dxa"/>
            <w:vMerge w:val="continue"/>
            <w:shd w:val="clear" w:color="auto" w:fill="auto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 xml:space="preserve">小 </w:t>
            </w:r>
            <w:r>
              <w:rPr>
                <w:rFonts w:ascii="宋体" w:hAnsi="宋体"/>
                <w:b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计</w:t>
            </w:r>
          </w:p>
        </w:tc>
        <w:tc>
          <w:tcPr>
            <w:tcW w:w="567" w:type="dxa"/>
            <w:tcBorders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9</w:t>
            </w:r>
          </w:p>
        </w:tc>
        <w:tc>
          <w:tcPr>
            <w:tcW w:w="721" w:type="dxa"/>
            <w:tcBorders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400</w:t>
            </w:r>
          </w:p>
        </w:tc>
        <w:tc>
          <w:tcPr>
            <w:tcW w:w="53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—</w:t>
            </w: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—</w:t>
            </w: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6</w:t>
            </w: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9</w:t>
            </w: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6</w:t>
            </w: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4</w:t>
            </w:r>
          </w:p>
        </w:tc>
        <w:tc>
          <w:tcPr>
            <w:tcW w:w="508" w:type="dxa"/>
            <w:tcBorders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—</w:t>
            </w:r>
          </w:p>
        </w:tc>
        <w:tc>
          <w:tcPr>
            <w:tcW w:w="509" w:type="dxa"/>
            <w:tcBorders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exact"/>
          <w:jc w:val="center"/>
        </w:trPr>
        <w:tc>
          <w:tcPr>
            <w:tcW w:w="708" w:type="dxa"/>
            <w:vMerge w:val="restar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专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业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选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修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程</w:t>
            </w:r>
          </w:p>
        </w:tc>
        <w:tc>
          <w:tcPr>
            <w:tcW w:w="127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ZYX08245</w:t>
            </w:r>
          </w:p>
        </w:tc>
        <w:tc>
          <w:tcPr>
            <w:tcW w:w="198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pacing w:val="-12"/>
                <w:sz w:val="18"/>
                <w:szCs w:val="18"/>
              </w:rPr>
            </w:pPr>
            <w:r>
              <w:rPr>
                <w:rFonts w:hint="eastAsia" w:ascii="宋体" w:hAnsi="宋体"/>
                <w:spacing w:val="-12"/>
                <w:sz w:val="16"/>
                <w:szCs w:val="18"/>
              </w:rPr>
              <w:t>学术英语Ⅱ（数字媒体技术）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53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exact"/>
          <w:jc w:val="center"/>
        </w:trPr>
        <w:tc>
          <w:tcPr>
            <w:tcW w:w="708" w:type="dxa"/>
            <w:vMerge w:val="continue"/>
            <w:shd w:val="clear" w:color="auto" w:fill="auto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ZYX08106</w:t>
            </w:r>
          </w:p>
        </w:tc>
        <w:tc>
          <w:tcPr>
            <w:tcW w:w="198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影视特效制作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53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exact"/>
          <w:jc w:val="center"/>
        </w:trPr>
        <w:tc>
          <w:tcPr>
            <w:tcW w:w="708" w:type="dxa"/>
            <w:vMerge w:val="continue"/>
            <w:shd w:val="clear" w:color="auto" w:fill="auto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ZYX08255</w:t>
            </w:r>
          </w:p>
        </w:tc>
        <w:tc>
          <w:tcPr>
            <w:tcW w:w="198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游戏技术基础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53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exact"/>
          <w:jc w:val="center"/>
        </w:trPr>
        <w:tc>
          <w:tcPr>
            <w:tcW w:w="708" w:type="dxa"/>
            <w:vMerge w:val="continue"/>
            <w:shd w:val="clear" w:color="auto" w:fill="auto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ZYX08135</w:t>
            </w:r>
          </w:p>
        </w:tc>
        <w:tc>
          <w:tcPr>
            <w:tcW w:w="198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场景设计与表现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53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exact"/>
          <w:jc w:val="center"/>
        </w:trPr>
        <w:tc>
          <w:tcPr>
            <w:tcW w:w="708" w:type="dxa"/>
            <w:vMerge w:val="continue"/>
            <w:shd w:val="clear" w:color="auto" w:fill="auto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ZYX08084</w:t>
            </w:r>
          </w:p>
        </w:tc>
        <w:tc>
          <w:tcPr>
            <w:tcW w:w="198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数字视音频处理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53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exact"/>
          <w:jc w:val="center"/>
        </w:trPr>
        <w:tc>
          <w:tcPr>
            <w:tcW w:w="708" w:type="dxa"/>
            <w:vMerge w:val="continue"/>
            <w:shd w:val="clear" w:color="auto" w:fill="auto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ZYX08256</w:t>
            </w:r>
          </w:p>
        </w:tc>
        <w:tc>
          <w:tcPr>
            <w:tcW w:w="198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信息存储与检索技术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53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exact"/>
          <w:jc w:val="center"/>
        </w:trPr>
        <w:tc>
          <w:tcPr>
            <w:tcW w:w="708" w:type="dxa"/>
            <w:vMerge w:val="continue"/>
            <w:shd w:val="clear" w:color="auto" w:fill="auto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ZYX08084</w:t>
            </w:r>
          </w:p>
        </w:tc>
        <w:tc>
          <w:tcPr>
            <w:tcW w:w="198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WEB前端开发基础 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53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exact"/>
          <w:jc w:val="center"/>
        </w:trPr>
        <w:tc>
          <w:tcPr>
            <w:tcW w:w="708" w:type="dxa"/>
            <w:vMerge w:val="continue"/>
            <w:shd w:val="clear" w:color="auto" w:fill="auto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ZYX08257</w:t>
            </w:r>
          </w:p>
        </w:tc>
        <w:tc>
          <w:tcPr>
            <w:tcW w:w="198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jc w:val="left"/>
              <w:rPr>
                <w:sz w:val="15"/>
                <w:szCs w:val="15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电视新闻片制作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53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exact"/>
          <w:jc w:val="center"/>
        </w:trPr>
        <w:tc>
          <w:tcPr>
            <w:tcW w:w="708" w:type="dxa"/>
            <w:vMerge w:val="continue"/>
            <w:shd w:val="clear" w:color="auto" w:fill="auto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ZYX08258</w:t>
            </w:r>
          </w:p>
        </w:tc>
        <w:tc>
          <w:tcPr>
            <w:tcW w:w="198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高级WEB前端开发 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72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53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exact"/>
          <w:jc w:val="center"/>
        </w:trPr>
        <w:tc>
          <w:tcPr>
            <w:tcW w:w="708" w:type="dxa"/>
            <w:vMerge w:val="continue"/>
            <w:shd w:val="clear" w:color="auto" w:fill="auto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ZYX08259</w:t>
            </w:r>
          </w:p>
        </w:tc>
        <w:tc>
          <w:tcPr>
            <w:tcW w:w="198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移动互联网应用开发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72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53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exact"/>
          <w:jc w:val="center"/>
        </w:trPr>
        <w:tc>
          <w:tcPr>
            <w:tcW w:w="708" w:type="dxa"/>
            <w:vMerge w:val="continue"/>
            <w:shd w:val="clear" w:color="auto" w:fill="auto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ZYX08140</w:t>
            </w:r>
          </w:p>
        </w:tc>
        <w:tc>
          <w:tcPr>
            <w:tcW w:w="198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游戏程序设计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72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53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exact"/>
          <w:jc w:val="center"/>
        </w:trPr>
        <w:tc>
          <w:tcPr>
            <w:tcW w:w="708" w:type="dxa"/>
            <w:vMerge w:val="continue"/>
            <w:shd w:val="clear" w:color="auto" w:fill="auto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ZYX08260</w:t>
            </w:r>
          </w:p>
        </w:tc>
        <w:tc>
          <w:tcPr>
            <w:tcW w:w="198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游戏原型开发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53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exact"/>
          <w:jc w:val="center"/>
        </w:trPr>
        <w:tc>
          <w:tcPr>
            <w:tcW w:w="708" w:type="dxa"/>
            <w:vMerge w:val="continue"/>
            <w:shd w:val="clear" w:color="auto" w:fill="auto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ZYX08261</w:t>
            </w:r>
          </w:p>
        </w:tc>
        <w:tc>
          <w:tcPr>
            <w:tcW w:w="198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游戏创作与策划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53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exact"/>
          <w:jc w:val="center"/>
        </w:trPr>
        <w:tc>
          <w:tcPr>
            <w:tcW w:w="708" w:type="dxa"/>
            <w:vMerge w:val="continue"/>
            <w:shd w:val="clear" w:color="auto" w:fill="auto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ZYX08262</w:t>
            </w:r>
          </w:p>
        </w:tc>
        <w:tc>
          <w:tcPr>
            <w:tcW w:w="198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移动平台游戏开发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53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exact"/>
          <w:jc w:val="center"/>
        </w:trPr>
        <w:tc>
          <w:tcPr>
            <w:tcW w:w="708" w:type="dxa"/>
            <w:vMerge w:val="continue"/>
            <w:shd w:val="clear" w:color="auto" w:fill="auto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ZYX08263</w:t>
            </w:r>
          </w:p>
        </w:tc>
        <w:tc>
          <w:tcPr>
            <w:tcW w:w="198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VR游戏开发基础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53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exact"/>
          <w:jc w:val="center"/>
        </w:trPr>
        <w:tc>
          <w:tcPr>
            <w:tcW w:w="708" w:type="dxa"/>
            <w:vMerge w:val="continue"/>
            <w:shd w:val="clear" w:color="auto" w:fill="auto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ZYX08029</w:t>
            </w:r>
          </w:p>
        </w:tc>
        <w:tc>
          <w:tcPr>
            <w:tcW w:w="198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人工智能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</w:t>
            </w:r>
          </w:p>
        </w:tc>
        <w:tc>
          <w:tcPr>
            <w:tcW w:w="53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exact"/>
          <w:jc w:val="center"/>
        </w:trPr>
        <w:tc>
          <w:tcPr>
            <w:tcW w:w="708" w:type="dxa"/>
            <w:vMerge w:val="continue"/>
            <w:shd w:val="clear" w:color="auto" w:fill="auto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ZYX08247</w:t>
            </w:r>
          </w:p>
        </w:tc>
        <w:tc>
          <w:tcPr>
            <w:tcW w:w="198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3D打印技术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53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exact"/>
          <w:jc w:val="center"/>
        </w:trPr>
        <w:tc>
          <w:tcPr>
            <w:tcW w:w="708" w:type="dxa"/>
            <w:vMerge w:val="continue"/>
            <w:shd w:val="clear" w:color="auto" w:fill="auto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ZYX08249</w:t>
            </w:r>
          </w:p>
        </w:tc>
        <w:tc>
          <w:tcPr>
            <w:tcW w:w="198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虚拟现实与系统仿真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53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exact"/>
          <w:jc w:val="center"/>
        </w:trPr>
        <w:tc>
          <w:tcPr>
            <w:tcW w:w="708" w:type="dxa"/>
            <w:vMerge w:val="continue"/>
            <w:shd w:val="clear" w:color="auto" w:fill="auto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应选修课程小计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14</w:t>
            </w:r>
          </w:p>
        </w:tc>
        <w:tc>
          <w:tcPr>
            <w:tcW w:w="721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496</w:t>
            </w:r>
          </w:p>
        </w:tc>
        <w:tc>
          <w:tcPr>
            <w:tcW w:w="53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—</w:t>
            </w:r>
          </w:p>
        </w:tc>
        <w:tc>
          <w:tcPr>
            <w:tcW w:w="50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—</w:t>
            </w:r>
          </w:p>
        </w:tc>
        <w:tc>
          <w:tcPr>
            <w:tcW w:w="50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—</w:t>
            </w:r>
          </w:p>
        </w:tc>
        <w:tc>
          <w:tcPr>
            <w:tcW w:w="50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6</w:t>
            </w:r>
          </w:p>
        </w:tc>
        <w:tc>
          <w:tcPr>
            <w:tcW w:w="50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8</w:t>
            </w:r>
          </w:p>
        </w:tc>
        <w:tc>
          <w:tcPr>
            <w:tcW w:w="50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 xml:space="preserve">11 </w:t>
            </w:r>
          </w:p>
        </w:tc>
        <w:tc>
          <w:tcPr>
            <w:tcW w:w="50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6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4" w:hRule="atLeast"/>
          <w:jc w:val="center"/>
        </w:trPr>
        <w:tc>
          <w:tcPr>
            <w:tcW w:w="3968" w:type="dxa"/>
            <w:gridSpan w:val="3"/>
            <w:vMerge w:val="restart"/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宋体" w:hAnsi="宋体" w:cs="宋体"/>
                <w:b/>
                <w:szCs w:val="18"/>
              </w:rPr>
            </w:pPr>
            <w:r>
              <w:rPr>
                <w:rFonts w:hint="eastAsia" w:ascii="宋体" w:hAnsi="宋体" w:cs="宋体"/>
                <w:b/>
                <w:szCs w:val="18"/>
              </w:rPr>
              <w:t>应修专业教育课程合计</w:t>
            </w:r>
          </w:p>
        </w:tc>
        <w:tc>
          <w:tcPr>
            <w:tcW w:w="56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45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 xml:space="preserve">32 </w:t>
            </w:r>
          </w:p>
        </w:tc>
        <w:tc>
          <w:tcPr>
            <w:tcW w:w="721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6"/>
                <w:szCs w:val="18"/>
              </w:rPr>
            </w:pPr>
            <w:r>
              <w:rPr>
                <w:rFonts w:hint="eastAsia" w:ascii="宋体" w:hAnsi="宋体"/>
                <w:b/>
                <w:sz w:val="16"/>
                <w:szCs w:val="18"/>
              </w:rPr>
              <w:t>1218</w:t>
            </w:r>
          </w:p>
        </w:tc>
        <w:tc>
          <w:tcPr>
            <w:tcW w:w="53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7</w:t>
            </w:r>
          </w:p>
        </w:tc>
        <w:tc>
          <w:tcPr>
            <w:tcW w:w="50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7</w:t>
            </w:r>
          </w:p>
        </w:tc>
        <w:tc>
          <w:tcPr>
            <w:tcW w:w="50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13</w:t>
            </w:r>
          </w:p>
        </w:tc>
        <w:tc>
          <w:tcPr>
            <w:tcW w:w="50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15</w:t>
            </w:r>
          </w:p>
        </w:tc>
        <w:tc>
          <w:tcPr>
            <w:tcW w:w="50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14</w:t>
            </w:r>
          </w:p>
        </w:tc>
        <w:tc>
          <w:tcPr>
            <w:tcW w:w="50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15</w:t>
            </w:r>
          </w:p>
        </w:tc>
        <w:tc>
          <w:tcPr>
            <w:tcW w:w="50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 xml:space="preserve">6 </w:t>
            </w:r>
          </w:p>
        </w:tc>
        <w:tc>
          <w:tcPr>
            <w:tcW w:w="509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" w:hRule="atLeast"/>
          <w:jc w:val="center"/>
        </w:trPr>
        <w:tc>
          <w:tcPr>
            <w:tcW w:w="3968" w:type="dxa"/>
            <w:gridSpan w:val="3"/>
            <w:vMerge w:val="continue"/>
            <w:shd w:val="clear" w:color="auto" w:fill="auto"/>
          </w:tcPr>
          <w:p>
            <w:pPr>
              <w:widowControl/>
              <w:spacing w:before="100" w:beforeAutospacing="1" w:after="100" w:afterAutospacing="1"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 xml:space="preserve"> 77</w:t>
            </w:r>
          </w:p>
        </w:tc>
        <w:tc>
          <w:tcPr>
            <w:tcW w:w="721" w:type="dxa"/>
            <w:vMerge w:val="continue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" w:type="dxa"/>
            <w:vMerge w:val="continue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vMerge w:val="continue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vMerge w:val="continue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vMerge w:val="continue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vMerge w:val="continue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vMerge w:val="continue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8" w:type="dxa"/>
            <w:vMerge w:val="continue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9" w:type="dxa"/>
            <w:vMerge w:val="continue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spacing w:line="280" w:lineRule="exac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注：①专业选修课程须修满31学分，其中实践课程学分14学分。</w:t>
      </w:r>
    </w:p>
    <w:p>
      <w:pPr>
        <w:spacing w:line="280" w:lineRule="exac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②课程名称前标“*”为考试课程，其他为考查课程。</w:t>
      </w:r>
    </w:p>
    <w:p>
      <w:pPr>
        <w:spacing w:line="280" w:lineRule="exac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③本专业学生须修满5学分的</w:t>
      </w:r>
      <w:r>
        <w:rPr>
          <w:rFonts w:hint="eastAsia" w:ascii="宋体" w:hAnsi="宋体"/>
          <w:bCs/>
          <w:sz w:val="18"/>
          <w:szCs w:val="18"/>
        </w:rPr>
        <w:t>学术</w:t>
      </w:r>
      <w:r>
        <w:rPr>
          <w:rFonts w:hint="eastAsia" w:ascii="宋体" w:hAnsi="宋体"/>
          <w:sz w:val="18"/>
          <w:szCs w:val="18"/>
        </w:rPr>
        <w:t>英语相关课程。</w:t>
      </w: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92" w:right="1418" w:bottom="709" w:left="1418" w:header="624" w:footer="826" w:gutter="0"/>
      <w:pgNumType w:start="26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309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309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308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308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7590" w:firstLineChars="4200"/>
      <w:jc w:val="both"/>
      <w:rPr>
        <w:rFonts w:ascii="宋体" w:hAnsi="宋体"/>
        <w:b/>
      </w:rPr>
    </w:pPr>
    <w:r>
      <w:rPr>
        <w:rFonts w:hint="eastAsia" w:ascii="宋体" w:hAnsi="宋体"/>
        <w:b/>
      </w:rPr>
      <w:t>数字</w:t>
    </w:r>
    <w:r>
      <w:rPr>
        <w:rFonts w:ascii="宋体" w:hAnsi="宋体"/>
        <w:b/>
      </w:rPr>
      <w:t>媒体</w:t>
    </w:r>
    <w:r>
      <w:rPr>
        <w:rFonts w:hint="eastAsia" w:ascii="宋体" w:hAnsi="宋体"/>
        <w:b/>
      </w:rPr>
      <w:t>技术专业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  <w:rPr>
        <w:rFonts w:ascii="宋体" w:hAnsi="宋体"/>
        <w:b/>
      </w:rPr>
    </w:pPr>
    <w:r>
      <w:rPr>
        <w:rFonts w:hint="eastAsia" w:ascii="宋体" w:hAnsi="宋体"/>
        <w:b/>
      </w:rPr>
      <w:t>数字媒体技术专业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宋体" w:hAnsi="宋体"/>
        <w:b/>
      </w:rPr>
    </w:pPr>
    <w:r>
      <w:rPr>
        <w:rFonts w:hint="eastAsia" w:ascii="宋体" w:hAnsi="宋体"/>
        <w:b/>
      </w:rPr>
      <w:t>计算机科学与技术专业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425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576"/>
    <w:rsid w:val="00003305"/>
    <w:rsid w:val="0000467D"/>
    <w:rsid w:val="00010ED7"/>
    <w:rsid w:val="00016433"/>
    <w:rsid w:val="000209FC"/>
    <w:rsid w:val="0002298B"/>
    <w:rsid w:val="00024D87"/>
    <w:rsid w:val="000359A1"/>
    <w:rsid w:val="000408A5"/>
    <w:rsid w:val="0004391B"/>
    <w:rsid w:val="0005391F"/>
    <w:rsid w:val="000562F5"/>
    <w:rsid w:val="00061587"/>
    <w:rsid w:val="000702F5"/>
    <w:rsid w:val="00075D2C"/>
    <w:rsid w:val="00085E08"/>
    <w:rsid w:val="0008642E"/>
    <w:rsid w:val="0009469F"/>
    <w:rsid w:val="000B0B93"/>
    <w:rsid w:val="000B4FC2"/>
    <w:rsid w:val="000B5131"/>
    <w:rsid w:val="000C17C0"/>
    <w:rsid w:val="000C3590"/>
    <w:rsid w:val="000C725F"/>
    <w:rsid w:val="000D095D"/>
    <w:rsid w:val="000D3F3E"/>
    <w:rsid w:val="000D471D"/>
    <w:rsid w:val="000D606C"/>
    <w:rsid w:val="000E11CB"/>
    <w:rsid w:val="000E43AF"/>
    <w:rsid w:val="0010765C"/>
    <w:rsid w:val="00121033"/>
    <w:rsid w:val="0013306E"/>
    <w:rsid w:val="0013588B"/>
    <w:rsid w:val="001362E6"/>
    <w:rsid w:val="00144640"/>
    <w:rsid w:val="00144B22"/>
    <w:rsid w:val="001459D6"/>
    <w:rsid w:val="00145D43"/>
    <w:rsid w:val="00153340"/>
    <w:rsid w:val="001660A0"/>
    <w:rsid w:val="0017512F"/>
    <w:rsid w:val="00175ED3"/>
    <w:rsid w:val="00185400"/>
    <w:rsid w:val="00192720"/>
    <w:rsid w:val="001A01AB"/>
    <w:rsid w:val="001A16DE"/>
    <w:rsid w:val="001A4B37"/>
    <w:rsid w:val="001A63C9"/>
    <w:rsid w:val="001A7108"/>
    <w:rsid w:val="001A7E56"/>
    <w:rsid w:val="001B1079"/>
    <w:rsid w:val="001B393A"/>
    <w:rsid w:val="001B6103"/>
    <w:rsid w:val="001B6324"/>
    <w:rsid w:val="001B6688"/>
    <w:rsid w:val="001B7F4A"/>
    <w:rsid w:val="001C6B57"/>
    <w:rsid w:val="001C75B2"/>
    <w:rsid w:val="001D1F45"/>
    <w:rsid w:val="001D25AC"/>
    <w:rsid w:val="001D3603"/>
    <w:rsid w:val="001E0A06"/>
    <w:rsid w:val="001E2915"/>
    <w:rsid w:val="00202399"/>
    <w:rsid w:val="002073D5"/>
    <w:rsid w:val="002223DA"/>
    <w:rsid w:val="00234540"/>
    <w:rsid w:val="0023591D"/>
    <w:rsid w:val="0024200C"/>
    <w:rsid w:val="00243C77"/>
    <w:rsid w:val="00261DC0"/>
    <w:rsid w:val="002706CD"/>
    <w:rsid w:val="00273AB6"/>
    <w:rsid w:val="00284B19"/>
    <w:rsid w:val="002A294C"/>
    <w:rsid w:val="002A3920"/>
    <w:rsid w:val="002A62CC"/>
    <w:rsid w:val="002A6E11"/>
    <w:rsid w:val="002A7DB0"/>
    <w:rsid w:val="002B3BE7"/>
    <w:rsid w:val="002C02CB"/>
    <w:rsid w:val="002C4366"/>
    <w:rsid w:val="002C7624"/>
    <w:rsid w:val="002C77BB"/>
    <w:rsid w:val="002C78F1"/>
    <w:rsid w:val="002D0F2F"/>
    <w:rsid w:val="002D43D8"/>
    <w:rsid w:val="002D7329"/>
    <w:rsid w:val="002E2281"/>
    <w:rsid w:val="002E2719"/>
    <w:rsid w:val="002E7470"/>
    <w:rsid w:val="00300858"/>
    <w:rsid w:val="003029C3"/>
    <w:rsid w:val="003046A3"/>
    <w:rsid w:val="00310791"/>
    <w:rsid w:val="003133EC"/>
    <w:rsid w:val="00320C03"/>
    <w:rsid w:val="003230CF"/>
    <w:rsid w:val="00323516"/>
    <w:rsid w:val="003369AD"/>
    <w:rsid w:val="00341C7F"/>
    <w:rsid w:val="00347400"/>
    <w:rsid w:val="00350C51"/>
    <w:rsid w:val="00353E22"/>
    <w:rsid w:val="00355F2D"/>
    <w:rsid w:val="00375498"/>
    <w:rsid w:val="00381B25"/>
    <w:rsid w:val="003870D9"/>
    <w:rsid w:val="00392368"/>
    <w:rsid w:val="00393319"/>
    <w:rsid w:val="00395595"/>
    <w:rsid w:val="003A47D8"/>
    <w:rsid w:val="003A4DE3"/>
    <w:rsid w:val="003A698C"/>
    <w:rsid w:val="003A733A"/>
    <w:rsid w:val="003B2155"/>
    <w:rsid w:val="003C1D34"/>
    <w:rsid w:val="003E31A0"/>
    <w:rsid w:val="003F470C"/>
    <w:rsid w:val="00407B13"/>
    <w:rsid w:val="00407C36"/>
    <w:rsid w:val="00411F66"/>
    <w:rsid w:val="00414787"/>
    <w:rsid w:val="0042633B"/>
    <w:rsid w:val="00432071"/>
    <w:rsid w:val="00435043"/>
    <w:rsid w:val="004365A8"/>
    <w:rsid w:val="00436DF7"/>
    <w:rsid w:val="00446EC8"/>
    <w:rsid w:val="004569AB"/>
    <w:rsid w:val="00463258"/>
    <w:rsid w:val="00467F91"/>
    <w:rsid w:val="004706F3"/>
    <w:rsid w:val="00471806"/>
    <w:rsid w:val="004738BA"/>
    <w:rsid w:val="00492339"/>
    <w:rsid w:val="00493CCE"/>
    <w:rsid w:val="004953BF"/>
    <w:rsid w:val="00495A18"/>
    <w:rsid w:val="004B1AF9"/>
    <w:rsid w:val="004C2397"/>
    <w:rsid w:val="004C57DF"/>
    <w:rsid w:val="004D325F"/>
    <w:rsid w:val="004D72B1"/>
    <w:rsid w:val="004E0AA7"/>
    <w:rsid w:val="004F4993"/>
    <w:rsid w:val="004F6612"/>
    <w:rsid w:val="0050587A"/>
    <w:rsid w:val="0051365E"/>
    <w:rsid w:val="00522BF7"/>
    <w:rsid w:val="00541920"/>
    <w:rsid w:val="00543B47"/>
    <w:rsid w:val="005458F2"/>
    <w:rsid w:val="0056180E"/>
    <w:rsid w:val="00562F16"/>
    <w:rsid w:val="00563C6E"/>
    <w:rsid w:val="0056616A"/>
    <w:rsid w:val="00576D13"/>
    <w:rsid w:val="00582DE0"/>
    <w:rsid w:val="0059393D"/>
    <w:rsid w:val="005A0704"/>
    <w:rsid w:val="005A28B7"/>
    <w:rsid w:val="005A7B8E"/>
    <w:rsid w:val="005B5B75"/>
    <w:rsid w:val="005B6EB5"/>
    <w:rsid w:val="005D15E4"/>
    <w:rsid w:val="005D2136"/>
    <w:rsid w:val="005D2B63"/>
    <w:rsid w:val="005E03F7"/>
    <w:rsid w:val="005F3CF7"/>
    <w:rsid w:val="005F707B"/>
    <w:rsid w:val="006051DA"/>
    <w:rsid w:val="00611760"/>
    <w:rsid w:val="006123AE"/>
    <w:rsid w:val="006149A9"/>
    <w:rsid w:val="00615EAA"/>
    <w:rsid w:val="00624F47"/>
    <w:rsid w:val="00630032"/>
    <w:rsid w:val="006330E3"/>
    <w:rsid w:val="0063594C"/>
    <w:rsid w:val="006441D1"/>
    <w:rsid w:val="0064624D"/>
    <w:rsid w:val="0065112E"/>
    <w:rsid w:val="00651559"/>
    <w:rsid w:val="006535EC"/>
    <w:rsid w:val="00654C12"/>
    <w:rsid w:val="00655907"/>
    <w:rsid w:val="00662222"/>
    <w:rsid w:val="00664678"/>
    <w:rsid w:val="00665594"/>
    <w:rsid w:val="006660D5"/>
    <w:rsid w:val="00667CE1"/>
    <w:rsid w:val="0067154D"/>
    <w:rsid w:val="00672621"/>
    <w:rsid w:val="006728CD"/>
    <w:rsid w:val="00674183"/>
    <w:rsid w:val="00674A09"/>
    <w:rsid w:val="00677166"/>
    <w:rsid w:val="006A2F74"/>
    <w:rsid w:val="006B099E"/>
    <w:rsid w:val="006B377D"/>
    <w:rsid w:val="006C0B38"/>
    <w:rsid w:val="006C4FEC"/>
    <w:rsid w:val="006D4294"/>
    <w:rsid w:val="006E2439"/>
    <w:rsid w:val="006E561C"/>
    <w:rsid w:val="006E64F4"/>
    <w:rsid w:val="006E7D21"/>
    <w:rsid w:val="00700A0A"/>
    <w:rsid w:val="00702928"/>
    <w:rsid w:val="00704B4C"/>
    <w:rsid w:val="007131AA"/>
    <w:rsid w:val="00713C48"/>
    <w:rsid w:val="00714677"/>
    <w:rsid w:val="00716088"/>
    <w:rsid w:val="0073048A"/>
    <w:rsid w:val="007354AE"/>
    <w:rsid w:val="00737899"/>
    <w:rsid w:val="00742E02"/>
    <w:rsid w:val="0074378E"/>
    <w:rsid w:val="00744324"/>
    <w:rsid w:val="0074528B"/>
    <w:rsid w:val="00772EC3"/>
    <w:rsid w:val="00772F7F"/>
    <w:rsid w:val="007737F6"/>
    <w:rsid w:val="007741C5"/>
    <w:rsid w:val="007746F1"/>
    <w:rsid w:val="00776B00"/>
    <w:rsid w:val="0078082C"/>
    <w:rsid w:val="007829A8"/>
    <w:rsid w:val="00795620"/>
    <w:rsid w:val="007A1C13"/>
    <w:rsid w:val="007A4D9A"/>
    <w:rsid w:val="007A7459"/>
    <w:rsid w:val="007B75B0"/>
    <w:rsid w:val="007C083F"/>
    <w:rsid w:val="007C275D"/>
    <w:rsid w:val="007C3DA6"/>
    <w:rsid w:val="007D0F89"/>
    <w:rsid w:val="007D1DE0"/>
    <w:rsid w:val="007D7952"/>
    <w:rsid w:val="007D7BFF"/>
    <w:rsid w:val="007E0295"/>
    <w:rsid w:val="007E13CE"/>
    <w:rsid w:val="007E2463"/>
    <w:rsid w:val="007E27DA"/>
    <w:rsid w:val="007E2F37"/>
    <w:rsid w:val="007E61EB"/>
    <w:rsid w:val="007F4FEC"/>
    <w:rsid w:val="00807D1D"/>
    <w:rsid w:val="008115CD"/>
    <w:rsid w:val="0081784B"/>
    <w:rsid w:val="00845895"/>
    <w:rsid w:val="00855F7F"/>
    <w:rsid w:val="008617E6"/>
    <w:rsid w:val="00865E11"/>
    <w:rsid w:val="00866AAE"/>
    <w:rsid w:val="00867F44"/>
    <w:rsid w:val="0087501E"/>
    <w:rsid w:val="0088391B"/>
    <w:rsid w:val="00891D6F"/>
    <w:rsid w:val="008B1F18"/>
    <w:rsid w:val="008C0AF6"/>
    <w:rsid w:val="008D5091"/>
    <w:rsid w:val="008D7ABC"/>
    <w:rsid w:val="008E2373"/>
    <w:rsid w:val="008E4EB7"/>
    <w:rsid w:val="008F1A1D"/>
    <w:rsid w:val="008F60AA"/>
    <w:rsid w:val="008F6CFC"/>
    <w:rsid w:val="0090163D"/>
    <w:rsid w:val="00901967"/>
    <w:rsid w:val="00903412"/>
    <w:rsid w:val="00933990"/>
    <w:rsid w:val="00936426"/>
    <w:rsid w:val="0094188E"/>
    <w:rsid w:val="00943BF8"/>
    <w:rsid w:val="00946F5A"/>
    <w:rsid w:val="00951DEA"/>
    <w:rsid w:val="0095300B"/>
    <w:rsid w:val="00954B21"/>
    <w:rsid w:val="00976909"/>
    <w:rsid w:val="00981465"/>
    <w:rsid w:val="0098210C"/>
    <w:rsid w:val="00983145"/>
    <w:rsid w:val="00985143"/>
    <w:rsid w:val="00992751"/>
    <w:rsid w:val="00997034"/>
    <w:rsid w:val="009B3BE4"/>
    <w:rsid w:val="009B6E6B"/>
    <w:rsid w:val="009D416D"/>
    <w:rsid w:val="009E79CB"/>
    <w:rsid w:val="009F5665"/>
    <w:rsid w:val="009F5922"/>
    <w:rsid w:val="00A07AEC"/>
    <w:rsid w:val="00A1034C"/>
    <w:rsid w:val="00A16836"/>
    <w:rsid w:val="00A210A8"/>
    <w:rsid w:val="00A22AFC"/>
    <w:rsid w:val="00A278A6"/>
    <w:rsid w:val="00A3674F"/>
    <w:rsid w:val="00A4671C"/>
    <w:rsid w:val="00A54724"/>
    <w:rsid w:val="00A75071"/>
    <w:rsid w:val="00A85609"/>
    <w:rsid w:val="00A95C15"/>
    <w:rsid w:val="00AA014A"/>
    <w:rsid w:val="00AA11EE"/>
    <w:rsid w:val="00AA4F25"/>
    <w:rsid w:val="00AB057B"/>
    <w:rsid w:val="00AB1996"/>
    <w:rsid w:val="00AB2EFB"/>
    <w:rsid w:val="00AB6057"/>
    <w:rsid w:val="00AC0C12"/>
    <w:rsid w:val="00AC46BD"/>
    <w:rsid w:val="00AC7A60"/>
    <w:rsid w:val="00AD07BF"/>
    <w:rsid w:val="00AD5BF9"/>
    <w:rsid w:val="00AD7880"/>
    <w:rsid w:val="00AE17F3"/>
    <w:rsid w:val="00AE2AF7"/>
    <w:rsid w:val="00AF7A3C"/>
    <w:rsid w:val="00B11F19"/>
    <w:rsid w:val="00B21220"/>
    <w:rsid w:val="00B224C8"/>
    <w:rsid w:val="00B22863"/>
    <w:rsid w:val="00B25731"/>
    <w:rsid w:val="00B32C0F"/>
    <w:rsid w:val="00B3324E"/>
    <w:rsid w:val="00B44A12"/>
    <w:rsid w:val="00B44F98"/>
    <w:rsid w:val="00B5038B"/>
    <w:rsid w:val="00B520BF"/>
    <w:rsid w:val="00B63725"/>
    <w:rsid w:val="00B64E21"/>
    <w:rsid w:val="00B734EB"/>
    <w:rsid w:val="00B74B3B"/>
    <w:rsid w:val="00B77B1B"/>
    <w:rsid w:val="00B94E89"/>
    <w:rsid w:val="00BA15AA"/>
    <w:rsid w:val="00BA6179"/>
    <w:rsid w:val="00BA77E7"/>
    <w:rsid w:val="00BB62B5"/>
    <w:rsid w:val="00BD1553"/>
    <w:rsid w:val="00BD377B"/>
    <w:rsid w:val="00BD524C"/>
    <w:rsid w:val="00BD5AB4"/>
    <w:rsid w:val="00BE6708"/>
    <w:rsid w:val="00BF6FAF"/>
    <w:rsid w:val="00C03148"/>
    <w:rsid w:val="00C03BE8"/>
    <w:rsid w:val="00C102AA"/>
    <w:rsid w:val="00C10559"/>
    <w:rsid w:val="00C1395A"/>
    <w:rsid w:val="00C2199A"/>
    <w:rsid w:val="00C243D4"/>
    <w:rsid w:val="00C30F87"/>
    <w:rsid w:val="00C363E1"/>
    <w:rsid w:val="00C4450F"/>
    <w:rsid w:val="00C503C3"/>
    <w:rsid w:val="00C542F8"/>
    <w:rsid w:val="00C60226"/>
    <w:rsid w:val="00C7042F"/>
    <w:rsid w:val="00C90381"/>
    <w:rsid w:val="00C95EB8"/>
    <w:rsid w:val="00CC0988"/>
    <w:rsid w:val="00CC4A0C"/>
    <w:rsid w:val="00CE1374"/>
    <w:rsid w:val="00CE255A"/>
    <w:rsid w:val="00CE7DD6"/>
    <w:rsid w:val="00CF0DF2"/>
    <w:rsid w:val="00CF182C"/>
    <w:rsid w:val="00CF236E"/>
    <w:rsid w:val="00D008E3"/>
    <w:rsid w:val="00D05D19"/>
    <w:rsid w:val="00D07895"/>
    <w:rsid w:val="00D07FA7"/>
    <w:rsid w:val="00D105D8"/>
    <w:rsid w:val="00D12373"/>
    <w:rsid w:val="00D14041"/>
    <w:rsid w:val="00D1445B"/>
    <w:rsid w:val="00D16909"/>
    <w:rsid w:val="00D2029D"/>
    <w:rsid w:val="00D21503"/>
    <w:rsid w:val="00D515EA"/>
    <w:rsid w:val="00D61BC2"/>
    <w:rsid w:val="00D65E0D"/>
    <w:rsid w:val="00D70197"/>
    <w:rsid w:val="00D87B99"/>
    <w:rsid w:val="00DA479F"/>
    <w:rsid w:val="00DB0FAB"/>
    <w:rsid w:val="00DB28CF"/>
    <w:rsid w:val="00DB2D4D"/>
    <w:rsid w:val="00DC5218"/>
    <w:rsid w:val="00DC5B10"/>
    <w:rsid w:val="00DD1281"/>
    <w:rsid w:val="00DD4987"/>
    <w:rsid w:val="00DD78B6"/>
    <w:rsid w:val="00DE1BDF"/>
    <w:rsid w:val="00DE303E"/>
    <w:rsid w:val="00DE31ED"/>
    <w:rsid w:val="00DE5E1B"/>
    <w:rsid w:val="00E01E6B"/>
    <w:rsid w:val="00E03351"/>
    <w:rsid w:val="00E1004F"/>
    <w:rsid w:val="00E14A99"/>
    <w:rsid w:val="00E250AE"/>
    <w:rsid w:val="00E2618A"/>
    <w:rsid w:val="00E27E57"/>
    <w:rsid w:val="00E43FAF"/>
    <w:rsid w:val="00E52BF8"/>
    <w:rsid w:val="00E73260"/>
    <w:rsid w:val="00E74AD2"/>
    <w:rsid w:val="00E75B9C"/>
    <w:rsid w:val="00E77239"/>
    <w:rsid w:val="00E865D5"/>
    <w:rsid w:val="00E86728"/>
    <w:rsid w:val="00EA15C3"/>
    <w:rsid w:val="00EA6CFA"/>
    <w:rsid w:val="00EB3576"/>
    <w:rsid w:val="00EB6F70"/>
    <w:rsid w:val="00EB70CA"/>
    <w:rsid w:val="00EC6441"/>
    <w:rsid w:val="00EE04E3"/>
    <w:rsid w:val="00EE3E9B"/>
    <w:rsid w:val="00EF20A2"/>
    <w:rsid w:val="00EF30C7"/>
    <w:rsid w:val="00EF75CA"/>
    <w:rsid w:val="00F0401E"/>
    <w:rsid w:val="00F11FD3"/>
    <w:rsid w:val="00F158FF"/>
    <w:rsid w:val="00F2734E"/>
    <w:rsid w:val="00F34412"/>
    <w:rsid w:val="00F363EB"/>
    <w:rsid w:val="00F37FAB"/>
    <w:rsid w:val="00F42E38"/>
    <w:rsid w:val="00F555CD"/>
    <w:rsid w:val="00F556A6"/>
    <w:rsid w:val="00F570AD"/>
    <w:rsid w:val="00F650A5"/>
    <w:rsid w:val="00F76D72"/>
    <w:rsid w:val="00F7794D"/>
    <w:rsid w:val="00F801F2"/>
    <w:rsid w:val="00F80DC7"/>
    <w:rsid w:val="00F837CB"/>
    <w:rsid w:val="00F86C60"/>
    <w:rsid w:val="00F87CD5"/>
    <w:rsid w:val="00F9544A"/>
    <w:rsid w:val="00FA3D6C"/>
    <w:rsid w:val="00FB0CE2"/>
    <w:rsid w:val="00FB1A2B"/>
    <w:rsid w:val="00FB38C5"/>
    <w:rsid w:val="00FC1247"/>
    <w:rsid w:val="00FC1FBB"/>
    <w:rsid w:val="00FC51FE"/>
    <w:rsid w:val="00FC5B9B"/>
    <w:rsid w:val="00FD46A5"/>
    <w:rsid w:val="00FE7F95"/>
    <w:rsid w:val="00FF0DEF"/>
    <w:rsid w:val="00FF5D8A"/>
    <w:rsid w:val="018C5E55"/>
    <w:rsid w:val="039728BB"/>
    <w:rsid w:val="050F63CE"/>
    <w:rsid w:val="07EA0081"/>
    <w:rsid w:val="085B086B"/>
    <w:rsid w:val="096F27B9"/>
    <w:rsid w:val="0F206986"/>
    <w:rsid w:val="15F3648B"/>
    <w:rsid w:val="171B111D"/>
    <w:rsid w:val="172027D0"/>
    <w:rsid w:val="182553E6"/>
    <w:rsid w:val="1A3C25B5"/>
    <w:rsid w:val="1ADA30B6"/>
    <w:rsid w:val="1B7D7F78"/>
    <w:rsid w:val="1CB0649B"/>
    <w:rsid w:val="1DF075C2"/>
    <w:rsid w:val="1F9D4DC0"/>
    <w:rsid w:val="20277468"/>
    <w:rsid w:val="233C0B48"/>
    <w:rsid w:val="25D658CE"/>
    <w:rsid w:val="2692095D"/>
    <w:rsid w:val="28452E80"/>
    <w:rsid w:val="2A224EFD"/>
    <w:rsid w:val="2ABE2441"/>
    <w:rsid w:val="2C3560F3"/>
    <w:rsid w:val="2E704816"/>
    <w:rsid w:val="2ED50043"/>
    <w:rsid w:val="30EE1E00"/>
    <w:rsid w:val="34BD1D75"/>
    <w:rsid w:val="35870BD3"/>
    <w:rsid w:val="37DF1812"/>
    <w:rsid w:val="37E15070"/>
    <w:rsid w:val="3C9C0F26"/>
    <w:rsid w:val="3D50028C"/>
    <w:rsid w:val="3ECA73C5"/>
    <w:rsid w:val="40391B71"/>
    <w:rsid w:val="40C809D2"/>
    <w:rsid w:val="422E4117"/>
    <w:rsid w:val="44220043"/>
    <w:rsid w:val="44EE5451"/>
    <w:rsid w:val="451A23EA"/>
    <w:rsid w:val="467926CA"/>
    <w:rsid w:val="491C4914"/>
    <w:rsid w:val="4E582B22"/>
    <w:rsid w:val="4F844BC8"/>
    <w:rsid w:val="4FD414F0"/>
    <w:rsid w:val="56E41D48"/>
    <w:rsid w:val="59E42F9F"/>
    <w:rsid w:val="5C1F6BD8"/>
    <w:rsid w:val="5D982CA6"/>
    <w:rsid w:val="5FD62353"/>
    <w:rsid w:val="63012F1B"/>
    <w:rsid w:val="65E80D51"/>
    <w:rsid w:val="66951492"/>
    <w:rsid w:val="6B5E0D16"/>
    <w:rsid w:val="6C2A2324"/>
    <w:rsid w:val="6E0B2400"/>
    <w:rsid w:val="6EE31AB5"/>
    <w:rsid w:val="6FB5630F"/>
    <w:rsid w:val="72BC4B8C"/>
    <w:rsid w:val="75D73664"/>
    <w:rsid w:val="75E85132"/>
    <w:rsid w:val="7B813D11"/>
    <w:rsid w:val="7D405A9A"/>
    <w:rsid w:val="7D49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iPriority="0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qFormat="1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qFormat/>
    <w:uiPriority w:val="0"/>
    <w:pPr>
      <w:jc w:val="left"/>
    </w:pPr>
  </w:style>
  <w:style w:type="paragraph" w:styleId="3">
    <w:name w:val="Body Text Indent 2"/>
    <w:basedOn w:val="1"/>
    <w:unhideWhenUsed/>
    <w:qFormat/>
    <w:uiPriority w:val="0"/>
    <w:pPr>
      <w:tabs>
        <w:tab w:val="left" w:pos="630"/>
      </w:tabs>
      <w:spacing w:line="520" w:lineRule="exact"/>
      <w:ind w:left="630" w:hanging="630"/>
    </w:pPr>
    <w:rPr>
      <w:szCs w:val="28"/>
    </w:rPr>
  </w:style>
  <w:style w:type="paragraph" w:styleId="4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qFormat/>
    <w:uiPriority w:val="0"/>
    <w:pPr>
      <w:ind w:firstLine="562" w:firstLineChars="200"/>
    </w:pPr>
    <w:rPr>
      <w:rFonts w:ascii="宋体" w:hAnsi="宋体"/>
      <w:b/>
      <w:sz w:val="28"/>
      <w:szCs w:val="28"/>
    </w:rPr>
  </w:style>
  <w:style w:type="paragraph" w:styleId="8">
    <w:name w:val="annotation subject"/>
    <w:basedOn w:val="2"/>
    <w:next w:val="2"/>
    <w:link w:val="18"/>
    <w:unhideWhenUsed/>
    <w:qFormat/>
    <w:uiPriority w:val="0"/>
    <w:rPr>
      <w:b/>
      <w:bCs/>
    </w:rPr>
  </w:style>
  <w:style w:type="character" w:styleId="11">
    <w:name w:val="page number"/>
    <w:basedOn w:val="10"/>
    <w:unhideWhenUsed/>
    <w:qFormat/>
    <w:uiPriority w:val="0"/>
  </w:style>
  <w:style w:type="character" w:styleId="12">
    <w:name w:val="annotation reference"/>
    <w:qFormat/>
    <w:uiPriority w:val="0"/>
    <w:rPr>
      <w:sz w:val="21"/>
      <w:szCs w:val="21"/>
    </w:rPr>
  </w:style>
  <w:style w:type="paragraph" w:customStyle="1" w:styleId="13">
    <w:name w:val="默认段落字体 Para Char Char Char Char Char Char"/>
    <w:basedOn w:val="1"/>
    <w:qFormat/>
    <w:uiPriority w:val="0"/>
    <w:pPr>
      <w:tabs>
        <w:tab w:val="left" w:pos="840"/>
      </w:tabs>
      <w:ind w:left="840" w:hanging="360"/>
    </w:pPr>
  </w:style>
  <w:style w:type="character" w:customStyle="1" w:styleId="14">
    <w:name w:val="页眉 字符"/>
    <w:basedOn w:val="10"/>
    <w:link w:val="6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页脚 字符"/>
    <w:basedOn w:val="10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批注框文本 字符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批注文字 字符"/>
    <w:basedOn w:val="10"/>
    <w:link w:val="2"/>
    <w:qFormat/>
    <w:uiPriority w:val="0"/>
    <w:rPr>
      <w:kern w:val="2"/>
      <w:sz w:val="21"/>
      <w:szCs w:val="24"/>
    </w:rPr>
  </w:style>
  <w:style w:type="character" w:customStyle="1" w:styleId="18">
    <w:name w:val="批注主题 字符"/>
    <w:basedOn w:val="17"/>
    <w:link w:val="8"/>
    <w:semiHidden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4AC673-373B-404F-8968-18A8254D6C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zzjdwh</Company>
  <Pages>1</Pages>
  <Words>972</Words>
  <Characters>5541</Characters>
  <Lines>46</Lines>
  <Paragraphs>12</Paragraphs>
  <TotalTime>0</TotalTime>
  <ScaleCrop>false</ScaleCrop>
  <LinksUpToDate>false</LinksUpToDate>
  <CharactersWithSpaces>6501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2019-10-23T13:46:00Z</dcterms:created>
  <dc:creator>zxf</dc:creator>
  <cp:lastModifiedBy>Answer</cp:lastModifiedBy>
  <cp:lastPrinted>2020-04-17T02:53:00Z</cp:lastPrinted>
  <dcterms:modified xsi:type="dcterms:W3CDTF">2020-12-22T10:19:36Z</dcterms:modified>
  <dc:title>广东外语外贸大学南国商学院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